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黑体"/>
          <w:bCs/>
          <w:sz w:val="32"/>
          <w:szCs w:val="32"/>
          <w:lang w:val="zh-CN"/>
        </w:rPr>
      </w:pPr>
      <w:r>
        <w:rPr>
          <w:rFonts w:hint="eastAsia" w:ascii="仿宋_GB2312" w:eastAsia="仿宋_GB2312"/>
          <w:kern w:val="0"/>
          <w:sz w:val="24"/>
        </w:rPr>
        <w:t xml:space="preserve"> </w:t>
      </w:r>
    </w:p>
    <w:p>
      <w:pPr>
        <w:pStyle w:val="5"/>
        <w:snapToGrid w:val="0"/>
        <w:spacing w:line="400" w:lineRule="exact"/>
        <w:jc w:val="center"/>
        <w:outlineLvl w:val="0"/>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lang w:val="en-US" w:eastAsia="zh-CN"/>
        </w:rPr>
        <w:t>询价</w:t>
      </w:r>
      <w:r>
        <w:rPr>
          <w:rFonts w:hint="eastAsia" w:cs="仿宋" w:asciiTheme="minorEastAsia" w:hAnsiTheme="minorEastAsia" w:eastAsiaTheme="minorEastAsia"/>
          <w:b/>
          <w:bCs/>
          <w:sz w:val="36"/>
          <w:szCs w:val="36"/>
        </w:rPr>
        <w:t>文件条款</w:t>
      </w:r>
    </w:p>
    <w:p>
      <w:pPr>
        <w:pStyle w:val="5"/>
        <w:snapToGrid w:val="0"/>
        <w:spacing w:line="400" w:lineRule="exact"/>
        <w:rPr>
          <w:rFonts w:cs="仿宋" w:asciiTheme="minorEastAsia" w:hAnsiTheme="minorEastAsia" w:eastAsiaTheme="minorEastAsia"/>
          <w:b/>
          <w:bCs/>
        </w:rPr>
      </w:pPr>
    </w:p>
    <w:p>
      <w:pPr>
        <w:pStyle w:val="5"/>
        <w:snapToGrid w:val="0"/>
        <w:spacing w:line="400" w:lineRule="exact"/>
        <w:ind w:firstLine="472" w:firstLineChars="196"/>
        <w:outlineLvl w:val="0"/>
        <w:rPr>
          <w:rFonts w:cs="仿宋" w:asciiTheme="minorEastAsia" w:hAnsiTheme="minorEastAsia" w:eastAsiaTheme="minorEastAsia"/>
          <w:color w:val="000000"/>
        </w:rPr>
      </w:pPr>
      <w:r>
        <w:rPr>
          <w:rFonts w:hint="eastAsia" w:cs="仿宋" w:asciiTheme="minorEastAsia" w:hAnsiTheme="minorEastAsia" w:eastAsiaTheme="minorEastAsia"/>
          <w:b/>
          <w:bCs/>
        </w:rPr>
        <w:t xml:space="preserve">一、工程概况 </w:t>
      </w:r>
    </w:p>
    <w:p>
      <w:pPr>
        <w:spacing w:line="360" w:lineRule="auto"/>
        <w:ind w:left="480"/>
        <w:contextualSpacing/>
        <w:jc w:val="left"/>
        <w:outlineLvl w:val="1"/>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1.1工程名称：</w:t>
      </w:r>
      <w:r>
        <w:rPr>
          <w:rFonts w:hint="eastAsia" w:cs="仿宋" w:asciiTheme="minorEastAsia" w:hAnsiTheme="minorEastAsia" w:eastAsiaTheme="minorEastAsia"/>
          <w:sz w:val="24"/>
          <w:lang w:val="en-US" w:eastAsia="zh-CN"/>
        </w:rPr>
        <w:t>江苏安全技术职业学院云龙校区生活水箱购置及安装</w:t>
      </w:r>
    </w:p>
    <w:p>
      <w:pPr>
        <w:spacing w:line="360" w:lineRule="auto"/>
        <w:ind w:left="480"/>
        <w:contextualSpacing/>
        <w:jc w:val="left"/>
        <w:outlineLvl w:val="1"/>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rPr>
        <w:t>1.2工程地址：</w:t>
      </w:r>
      <w:r>
        <w:rPr>
          <w:rFonts w:hint="eastAsia" w:cs="仿宋" w:asciiTheme="minorEastAsia" w:hAnsiTheme="minorEastAsia" w:eastAsiaTheme="minorEastAsia"/>
          <w:sz w:val="24"/>
          <w:lang w:val="en-US" w:eastAsia="zh-CN"/>
        </w:rPr>
        <w:t>徐州市铜山路381号</w:t>
      </w:r>
    </w:p>
    <w:p>
      <w:pPr>
        <w:pStyle w:val="5"/>
        <w:snapToGrid w:val="0"/>
        <w:spacing w:line="400" w:lineRule="exact"/>
        <w:ind w:firstLine="472" w:firstLineChars="196"/>
        <w:outlineLvl w:val="0"/>
        <w:rPr>
          <w:rFonts w:cs="仿宋" w:asciiTheme="minorEastAsia" w:hAnsiTheme="minorEastAsia" w:eastAsiaTheme="minorEastAsia"/>
          <w:b/>
          <w:bCs/>
          <w:u w:val="single"/>
        </w:rPr>
      </w:pPr>
      <w:r>
        <w:rPr>
          <w:rFonts w:hint="eastAsia" w:cs="仿宋" w:asciiTheme="minorEastAsia" w:hAnsiTheme="minorEastAsia" w:eastAsiaTheme="minorEastAsia"/>
          <w:b/>
          <w:bCs/>
        </w:rPr>
        <w:t>二、</w:t>
      </w:r>
      <w:r>
        <w:rPr>
          <w:rFonts w:hint="eastAsia" w:cs="仿宋" w:asciiTheme="minorEastAsia" w:hAnsiTheme="minorEastAsia" w:eastAsiaTheme="minorEastAsia"/>
          <w:b/>
          <w:bCs/>
          <w:lang w:val="en-US" w:eastAsia="zh-CN"/>
        </w:rPr>
        <w:t>采购及安装</w:t>
      </w:r>
      <w:r>
        <w:rPr>
          <w:rFonts w:hint="eastAsia" w:cs="仿宋" w:asciiTheme="minorEastAsia" w:hAnsiTheme="minorEastAsia" w:eastAsiaTheme="minorEastAsia"/>
          <w:b/>
          <w:bCs/>
        </w:rPr>
        <w:t>内容</w:t>
      </w:r>
    </w:p>
    <w:tbl>
      <w:tblPr>
        <w:tblStyle w:val="12"/>
        <w:tblpPr w:leftFromText="180" w:rightFromText="180" w:vertAnchor="text" w:horzAnchor="page" w:tblpX="1495" w:tblpY="227"/>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44"/>
        <w:gridCol w:w="2057"/>
        <w:gridCol w:w="851"/>
        <w:gridCol w:w="1134"/>
        <w:gridCol w:w="15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9" w:type="dxa"/>
            <w:vAlign w:val="center"/>
          </w:tcPr>
          <w:p>
            <w:pPr>
              <w:widowControl/>
              <w:spacing w:line="400" w:lineRule="exact"/>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序号</w:t>
            </w:r>
          </w:p>
        </w:tc>
        <w:tc>
          <w:tcPr>
            <w:tcW w:w="1344" w:type="dxa"/>
            <w:vAlign w:val="center"/>
          </w:tcPr>
          <w:p>
            <w:pPr>
              <w:widowControl/>
              <w:spacing w:line="400" w:lineRule="exact"/>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材料名称</w:t>
            </w:r>
          </w:p>
        </w:tc>
        <w:tc>
          <w:tcPr>
            <w:tcW w:w="2057" w:type="dxa"/>
            <w:vAlign w:val="center"/>
          </w:tcPr>
          <w:p>
            <w:pPr>
              <w:widowControl/>
              <w:spacing w:line="400" w:lineRule="exact"/>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规格型号</w:t>
            </w:r>
          </w:p>
        </w:tc>
        <w:tc>
          <w:tcPr>
            <w:tcW w:w="851" w:type="dxa"/>
            <w:vAlign w:val="center"/>
          </w:tcPr>
          <w:p>
            <w:pPr>
              <w:widowControl/>
              <w:spacing w:line="400" w:lineRule="exact"/>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品牌</w:t>
            </w:r>
          </w:p>
        </w:tc>
        <w:tc>
          <w:tcPr>
            <w:tcW w:w="1134" w:type="dxa"/>
            <w:vAlign w:val="center"/>
          </w:tcPr>
          <w:p>
            <w:pPr>
              <w:widowControl/>
              <w:spacing w:line="400" w:lineRule="exact"/>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单位</w:t>
            </w:r>
          </w:p>
        </w:tc>
        <w:tc>
          <w:tcPr>
            <w:tcW w:w="1560" w:type="dxa"/>
            <w:vAlign w:val="center"/>
          </w:tcPr>
          <w:p>
            <w:pPr>
              <w:widowControl/>
              <w:spacing w:line="400" w:lineRule="exact"/>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数量</w:t>
            </w:r>
          </w:p>
        </w:tc>
        <w:tc>
          <w:tcPr>
            <w:tcW w:w="1350" w:type="dxa"/>
            <w:vAlign w:val="center"/>
          </w:tcPr>
          <w:p>
            <w:pPr>
              <w:widowControl/>
              <w:spacing w:line="400" w:lineRule="exact"/>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9" w:type="dxa"/>
            <w:vAlign w:val="center"/>
          </w:tcPr>
          <w:p>
            <w:pPr>
              <w:spacing w:line="240" w:lineRule="exact"/>
              <w:jc w:val="center"/>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w:t>
            </w:r>
          </w:p>
        </w:tc>
        <w:tc>
          <w:tcPr>
            <w:tcW w:w="1344" w:type="dxa"/>
            <w:vAlign w:val="center"/>
          </w:tcPr>
          <w:p>
            <w:pPr>
              <w:keepNext w:val="0"/>
              <w:keepLines w:val="0"/>
              <w:widowControl/>
              <w:suppressLineNumbers w:val="0"/>
              <w:jc w:val="center"/>
              <w:textAlignment w:val="center"/>
              <w:rPr>
                <w:rFonts w:hint="eastAsia" w:cs="仿宋" w:asciiTheme="minorEastAsia" w:hAnsiTheme="minorEastAsia" w:eastAsiaTheme="minorEastAsia"/>
                <w:kern w:val="0"/>
                <w:sz w:val="24"/>
                <w:lang w:val="en-US" w:eastAsia="zh-CN"/>
              </w:rPr>
            </w:pPr>
            <w:r>
              <w:rPr>
                <w:rFonts w:hint="eastAsia" w:ascii="宋体" w:hAnsi="宋体" w:eastAsia="宋体" w:cs="宋体"/>
                <w:i w:val="0"/>
                <w:iCs w:val="0"/>
                <w:color w:val="000000"/>
                <w:kern w:val="0"/>
                <w:sz w:val="20"/>
                <w:szCs w:val="20"/>
                <w:u w:val="none"/>
                <w:lang w:val="en-US" w:eastAsia="zh-CN" w:bidi="ar"/>
              </w:rPr>
              <w:t>不锈钢水箱</w:t>
            </w:r>
          </w:p>
        </w:tc>
        <w:tc>
          <w:tcPr>
            <w:tcW w:w="2057" w:type="dxa"/>
            <w:vAlign w:val="center"/>
          </w:tcPr>
          <w:p>
            <w:pPr>
              <w:keepNext w:val="0"/>
              <w:keepLines w:val="0"/>
              <w:widowControl/>
              <w:suppressLineNumbers w:val="0"/>
              <w:jc w:val="center"/>
              <w:textAlignment w:val="center"/>
              <w:rPr>
                <w:rFonts w:hint="default" w:cs="仿宋" w:asciiTheme="minorEastAsia" w:hAnsiTheme="minorEastAsia" w:eastAsiaTheme="minorEastAsia"/>
                <w:kern w:val="0"/>
                <w:sz w:val="24"/>
                <w:lang w:val="en-US" w:eastAsia="zh-CN"/>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米</w:t>
            </w:r>
          </w:p>
        </w:tc>
        <w:tc>
          <w:tcPr>
            <w:tcW w:w="851" w:type="dxa"/>
            <w:vAlign w:val="center"/>
          </w:tcPr>
          <w:p>
            <w:pPr>
              <w:keepNext w:val="0"/>
              <w:keepLines w:val="0"/>
              <w:widowControl/>
              <w:suppressLineNumbers w:val="0"/>
              <w:jc w:val="center"/>
              <w:textAlignment w:val="center"/>
              <w:rPr>
                <w:rFonts w:hint="eastAsia" w:cs="仿宋" w:asciiTheme="minorEastAsia" w:hAnsiTheme="minorEastAsia" w:eastAsiaTheme="minorEastAsia"/>
                <w:kern w:val="0"/>
                <w:sz w:val="24"/>
                <w:lang w:val="en-US" w:eastAsia="zh-CN"/>
              </w:rPr>
            </w:pPr>
            <w:r>
              <w:rPr>
                <w:rFonts w:hint="eastAsia" w:ascii="宋体" w:hAnsi="宋体" w:cs="宋体"/>
                <w:i w:val="0"/>
                <w:iCs w:val="0"/>
                <w:color w:val="000000"/>
                <w:kern w:val="0"/>
                <w:sz w:val="20"/>
                <w:szCs w:val="20"/>
                <w:u w:val="none"/>
                <w:lang w:val="en-US" w:eastAsia="zh-CN" w:bidi="ar"/>
              </w:rPr>
              <w:t>/</w:t>
            </w:r>
          </w:p>
        </w:tc>
        <w:tc>
          <w:tcPr>
            <w:tcW w:w="1134" w:type="dxa"/>
            <w:vAlign w:val="center"/>
          </w:tcPr>
          <w:p>
            <w:pPr>
              <w:keepNext w:val="0"/>
              <w:keepLines w:val="0"/>
              <w:widowControl/>
              <w:suppressLineNumbers w:val="0"/>
              <w:jc w:val="center"/>
              <w:textAlignment w:val="center"/>
              <w:rPr>
                <w:rFonts w:hint="default" w:cs="仿宋" w:asciiTheme="minorEastAsia" w:hAnsiTheme="minorEastAsia" w:eastAsiaTheme="minorEastAsia"/>
                <w:kern w:val="0"/>
                <w:sz w:val="24"/>
                <w:lang w:val="en-US" w:eastAsia="zh-CN"/>
              </w:rPr>
            </w:pPr>
            <w:r>
              <w:rPr>
                <w:rFonts w:hint="eastAsia" w:ascii="宋体" w:hAnsi="宋体" w:eastAsia="宋体" w:cs="宋体"/>
                <w:i w:val="0"/>
                <w:iCs w:val="0"/>
                <w:color w:val="000000"/>
                <w:kern w:val="0"/>
                <w:sz w:val="20"/>
                <w:szCs w:val="20"/>
                <w:u w:val="none"/>
                <w:lang w:val="en-US" w:eastAsia="zh-CN" w:bidi="ar"/>
              </w:rPr>
              <w:t>m³</w:t>
            </w:r>
          </w:p>
        </w:tc>
        <w:tc>
          <w:tcPr>
            <w:tcW w:w="1560" w:type="dxa"/>
            <w:vAlign w:val="center"/>
          </w:tcPr>
          <w:p>
            <w:pPr>
              <w:keepNext w:val="0"/>
              <w:keepLines w:val="0"/>
              <w:widowControl/>
              <w:suppressLineNumbers w:val="0"/>
              <w:jc w:val="center"/>
              <w:textAlignment w:val="center"/>
              <w:rPr>
                <w:rFonts w:hint="default" w:cs="仿宋" w:asciiTheme="minorEastAsia" w:hAnsiTheme="minorEastAsia" w:eastAsiaTheme="minorEastAsia"/>
                <w:kern w:val="0"/>
                <w:sz w:val="24"/>
                <w:lang w:val="en-US" w:eastAsia="zh-CN"/>
              </w:rPr>
            </w:pPr>
            <w:r>
              <w:rPr>
                <w:rFonts w:hint="eastAsia" w:cs="仿宋" w:asciiTheme="minorEastAsia" w:hAnsiTheme="minorEastAsia" w:eastAsiaTheme="minorEastAsia"/>
                <w:kern w:val="0"/>
                <w:sz w:val="24"/>
                <w:lang w:val="en-US" w:eastAsia="zh-CN"/>
              </w:rPr>
              <w:t>1</w:t>
            </w:r>
            <w:bookmarkStart w:id="0" w:name="_GoBack"/>
            <w:bookmarkEnd w:id="0"/>
          </w:p>
        </w:tc>
        <w:tc>
          <w:tcPr>
            <w:tcW w:w="1350" w:type="dxa"/>
            <w:vAlign w:val="center"/>
          </w:tcPr>
          <w:p>
            <w:pPr>
              <w:widowControl/>
              <w:spacing w:line="240" w:lineRule="exact"/>
              <w:jc w:val="center"/>
              <w:rPr>
                <w:rFonts w:cs="仿宋" w:asciiTheme="minorEastAsia" w:hAnsiTheme="minorEastAsia" w:eastAsiaTheme="minorEastAsia"/>
                <w:kern w:val="0"/>
                <w:sz w:val="24"/>
              </w:rPr>
            </w:pPr>
          </w:p>
        </w:tc>
      </w:tr>
    </w:tbl>
    <w:p>
      <w:pPr>
        <w:pStyle w:val="10"/>
        <w:adjustRightInd w:val="0"/>
        <w:snapToGrid w:val="0"/>
        <w:spacing w:before="75" w:after="75" w:line="360" w:lineRule="auto"/>
        <w:ind w:firstLine="480" w:firstLineChars="200"/>
        <w:contextualSpacing/>
        <w:rPr>
          <w:rFonts w:hint="default" w:cs="仿宋" w:asciiTheme="minorEastAsia" w:hAnsiTheme="minorEastAsia" w:eastAsiaTheme="minorEastAsia"/>
          <w:u w:val="single"/>
        </w:rPr>
      </w:pPr>
    </w:p>
    <w:p>
      <w:pPr>
        <w:pStyle w:val="10"/>
        <w:adjustRightInd w:val="0"/>
        <w:snapToGrid w:val="0"/>
        <w:spacing w:before="75" w:after="75" w:line="360" w:lineRule="auto"/>
        <w:ind w:firstLine="480" w:firstLineChars="200"/>
        <w:contextualSpacing/>
        <w:rPr>
          <w:rFonts w:hint="default" w:cs="仿宋" w:asciiTheme="minorEastAsia" w:hAnsiTheme="minorEastAsia" w:eastAsiaTheme="minorEastAsia"/>
        </w:rPr>
      </w:pPr>
      <w:r>
        <w:rPr>
          <w:rFonts w:cs="仿宋" w:asciiTheme="minorEastAsia" w:hAnsiTheme="minorEastAsia" w:eastAsiaTheme="minorEastAsia"/>
        </w:rPr>
        <w:t>单价费用包含：</w:t>
      </w:r>
      <w:r>
        <w:rPr>
          <w:rFonts w:cs="仿宋" w:asciiTheme="minorEastAsia" w:hAnsiTheme="minorEastAsia" w:eastAsiaTheme="minorEastAsia"/>
          <w:szCs w:val="21"/>
        </w:rPr>
        <w:t>包括材料费、出厂检验费、加工费、包装费、仓贮费、运输费、过江过桥过路费、下力费、上力费、</w:t>
      </w:r>
      <w:r>
        <w:rPr>
          <w:rFonts w:hint="eastAsia" w:cs="仿宋" w:asciiTheme="minorEastAsia" w:hAnsiTheme="minorEastAsia" w:eastAsiaTheme="minorEastAsia"/>
          <w:szCs w:val="21"/>
          <w:lang w:val="en-US" w:eastAsia="zh-CN"/>
        </w:rPr>
        <w:t>拆除费、安装费、</w:t>
      </w:r>
      <w:r>
        <w:rPr>
          <w:rFonts w:cs="仿宋" w:asciiTheme="minorEastAsia" w:hAnsiTheme="minorEastAsia" w:eastAsiaTheme="minorEastAsia"/>
          <w:szCs w:val="21"/>
        </w:rPr>
        <w:t>财务费用、市场风险费、运输保险费、税金、利润，提供相关资料以及售后配套服务并通过质量验收等一切费用（可根据实际情况做适当修改）。</w:t>
      </w:r>
      <w:r>
        <w:rPr>
          <w:rFonts w:cs="仿宋" w:asciiTheme="minorEastAsia" w:hAnsiTheme="minorEastAsia" w:eastAsiaTheme="minorEastAsia"/>
        </w:rPr>
        <w:t xml:space="preserve"> </w:t>
      </w:r>
    </w:p>
    <w:p>
      <w:pPr>
        <w:pStyle w:val="5"/>
        <w:snapToGrid w:val="0"/>
        <w:spacing w:line="360" w:lineRule="auto"/>
        <w:ind w:firstLine="472" w:firstLineChars="196"/>
        <w:outlineLvl w:val="0"/>
        <w:rPr>
          <w:rFonts w:cs="仿宋" w:asciiTheme="minorEastAsia" w:hAnsiTheme="minorEastAsia" w:eastAsiaTheme="minorEastAsia"/>
          <w:b/>
          <w:bCs/>
        </w:rPr>
      </w:pPr>
      <w:r>
        <w:rPr>
          <w:rFonts w:hint="eastAsia" w:cs="仿宋" w:asciiTheme="minorEastAsia" w:hAnsiTheme="minorEastAsia" w:eastAsiaTheme="minorEastAsia"/>
          <w:b/>
          <w:bCs/>
        </w:rPr>
        <w:t>三、投标须知</w:t>
      </w:r>
    </w:p>
    <w:p>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3.1具有中华人民共和国企业独立法人资格，持有工商行政管理部门核发并在有效期内的法人营业执照，营业执照经营范围必须涵盖招标产品的制作或销售。 </w:t>
      </w:r>
    </w:p>
    <w:p>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3.2出厂合格证,检测报告（包括强检报告、必须送检的物资）,质量保证书等资料齐全，符合国家环境管理标准和职业健康安全要求，必须提供有效发票。 </w:t>
      </w:r>
    </w:p>
    <w:p>
      <w:pPr>
        <w:widowControl/>
        <w:spacing w:line="360" w:lineRule="auto"/>
        <w:ind w:left="153" w:leftChars="73" w:firstLine="360" w:firstLineChars="15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3.3投标人均要认真勘查现场，充分考虑安装、拆除、验收、备案等各项因素的影响，不得以此为借口而调价。各投标人所报价格是经过现场实地勘查了解并掌握了现场所有情况的最终报价。 </w:t>
      </w:r>
    </w:p>
    <w:p>
      <w:pPr>
        <w:widowControl/>
        <w:spacing w:line="360" w:lineRule="auto"/>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3.4具备一定的资金实力，同意我</w:t>
      </w:r>
      <w:r>
        <w:rPr>
          <w:rFonts w:hint="eastAsia" w:cs="仿宋" w:asciiTheme="minorEastAsia" w:hAnsiTheme="minorEastAsia" w:eastAsiaTheme="minorEastAsia"/>
          <w:sz w:val="24"/>
          <w:lang w:val="en-US" w:eastAsia="zh-CN"/>
        </w:rPr>
        <w:t>单位</w:t>
      </w:r>
      <w:r>
        <w:rPr>
          <w:rFonts w:hint="eastAsia" w:cs="仿宋" w:asciiTheme="minorEastAsia" w:hAnsiTheme="minorEastAsia" w:eastAsiaTheme="minorEastAsia"/>
          <w:sz w:val="24"/>
        </w:rPr>
        <w:t>的付款方式。</w:t>
      </w:r>
    </w:p>
    <w:p>
      <w:pPr>
        <w:pStyle w:val="5"/>
        <w:snapToGrid w:val="0"/>
        <w:spacing w:line="360" w:lineRule="auto"/>
        <w:ind w:left="480"/>
        <w:rPr>
          <w:rFonts w:cs="仿宋" w:asciiTheme="minorEastAsia" w:hAnsiTheme="minorEastAsia" w:eastAsiaTheme="minorEastAsia"/>
        </w:rPr>
      </w:pPr>
      <w:r>
        <w:rPr>
          <w:rFonts w:hint="eastAsia" w:cs="仿宋" w:asciiTheme="minorEastAsia" w:hAnsiTheme="minorEastAsia" w:eastAsiaTheme="minorEastAsia"/>
        </w:rPr>
        <w:t>3.5投标人应认真阅读招标文件</w:t>
      </w:r>
      <w:r>
        <w:rPr>
          <w:rFonts w:hint="eastAsia" w:cs="仿宋" w:asciiTheme="minorEastAsia" w:hAnsiTheme="minorEastAsia" w:eastAsiaTheme="minorEastAsia"/>
          <w:b/>
        </w:rPr>
        <w:t>（含合同范本/框架协议）</w:t>
      </w:r>
      <w:r>
        <w:rPr>
          <w:rFonts w:hint="eastAsia" w:cs="仿宋" w:asciiTheme="minorEastAsia" w:hAnsiTheme="minorEastAsia" w:eastAsiaTheme="minorEastAsia"/>
        </w:rPr>
        <w:t>中各项要求。</w:t>
      </w:r>
    </w:p>
    <w:p>
      <w:pPr>
        <w:tabs>
          <w:tab w:val="left" w:pos="1320"/>
        </w:tabs>
        <w:snapToGrid w:val="0"/>
        <w:spacing w:line="360" w:lineRule="auto"/>
        <w:ind w:firstLine="480" w:firstLineChars="200"/>
        <w:rPr>
          <w:rFonts w:cs="仿宋" w:asciiTheme="minorEastAsia" w:hAnsiTheme="minorEastAsia" w:eastAsiaTheme="minorEastAsia"/>
          <w:sz w:val="24"/>
          <w:szCs w:val="21"/>
        </w:rPr>
      </w:pPr>
      <w:r>
        <w:rPr>
          <w:rFonts w:hint="eastAsia" w:cs="仿宋" w:asciiTheme="minorEastAsia" w:hAnsiTheme="minorEastAsia" w:eastAsiaTheme="minorEastAsia"/>
          <w:sz w:val="24"/>
          <w:szCs w:val="21"/>
        </w:rPr>
        <w:t>3.6投标人应根据招标人提供的投标书，按要求填写投标书和报价单中所有需填写的空格处，尤其要填写清楚计量单位、单价及合计金额，并在报价说明栏中用文字说明所报单价构成内容和不包含的费用，否则影响中标。</w:t>
      </w:r>
    </w:p>
    <w:p>
      <w:pPr>
        <w:pStyle w:val="10"/>
        <w:adjustRightInd w:val="0"/>
        <w:snapToGrid w:val="0"/>
        <w:spacing w:before="75" w:after="75" w:line="360" w:lineRule="auto"/>
        <w:ind w:firstLine="482" w:firstLineChars="200"/>
        <w:contextualSpacing/>
        <w:rPr>
          <w:rFonts w:hint="default" w:cs="仿宋" w:asciiTheme="minorEastAsia" w:hAnsiTheme="minorEastAsia" w:eastAsiaTheme="minorEastAsia"/>
          <w:b/>
          <w:bCs/>
          <w:szCs w:val="21"/>
        </w:rPr>
      </w:pPr>
    </w:p>
    <w:p>
      <w:pPr>
        <w:snapToGrid w:val="0"/>
        <w:spacing w:line="276" w:lineRule="auto"/>
        <w:ind w:firstLine="472" w:firstLineChars="196"/>
        <w:outlineLvl w:val="0"/>
        <w:rPr>
          <w:rFonts w:cs="仿宋" w:asciiTheme="minorEastAsia" w:hAnsiTheme="minorEastAsia" w:eastAsiaTheme="minorEastAsia"/>
          <w:b/>
          <w:sz w:val="24"/>
        </w:rPr>
      </w:pPr>
      <w:r>
        <w:rPr>
          <w:rFonts w:hint="eastAsia" w:cs="仿宋" w:asciiTheme="minorEastAsia" w:hAnsiTheme="minorEastAsia" w:eastAsiaTheme="minorEastAsia"/>
          <w:b/>
          <w:bCs/>
          <w:sz w:val="24"/>
        </w:rPr>
        <w:t>四、技术、质量及其他要求</w:t>
      </w: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4.1须符合国家、地方及行业的相关标准、规范，主要包括但不限于：</w:t>
      </w:r>
      <w:r>
        <w:rPr>
          <w:rFonts w:hint="eastAsia" w:ascii="宋体" w:hAnsi="宋体" w:eastAsia="宋体" w:cs="Arial"/>
          <w:kern w:val="0"/>
          <w:sz w:val="24"/>
          <w:szCs w:val="24"/>
          <w:lang w:val="en-US" w:eastAsia="zh-CN"/>
        </w:rPr>
        <w:t>质量标准和技术标准原则上执行国家现行技术规范，检测规定及标准，不合格造成的一切损失由供方承担。提供随货同行合格证，质保书，检测报告等质量文件。提供产品需达到合格，满足安全和环保需求。</w:t>
      </w: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w:t>
      </w:r>
      <w:r>
        <w:rPr>
          <w:rFonts w:hint="eastAsia" w:cs="仿宋" w:asciiTheme="minorEastAsia" w:hAnsiTheme="minorEastAsia" w:eastAsiaTheme="minorEastAsia"/>
          <w:lang w:val="en-US" w:eastAsia="zh-CN"/>
        </w:rPr>
        <w:t>.</w:t>
      </w:r>
      <w:r>
        <w:rPr>
          <w:rFonts w:hint="eastAsia" w:ascii="宋体" w:hAnsi="宋体" w:eastAsia="宋体" w:cs="Arial"/>
          <w:kern w:val="0"/>
          <w:sz w:val="24"/>
          <w:szCs w:val="24"/>
          <w:lang w:val="en-US" w:eastAsia="zh-CN"/>
        </w:rPr>
        <w:t>1、外观：水箱外表应整洁、光滑、不和有锋棱、毛刺及明显的碰撞缺陷，焊缝应平整并涂装饰性覆盖层。</w:t>
      </w: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w:t>
      </w:r>
      <w:r>
        <w:rPr>
          <w:rFonts w:hint="eastAsia" w:cs="仿宋" w:asciiTheme="minorEastAsia" w:hAnsiTheme="minorEastAsia" w:eastAsiaTheme="minorEastAsia"/>
          <w:lang w:val="en-US" w:eastAsia="zh-CN"/>
        </w:rPr>
        <w:t>.</w:t>
      </w:r>
      <w:r>
        <w:rPr>
          <w:rFonts w:hint="eastAsia" w:ascii="宋体" w:hAnsi="宋体" w:eastAsia="宋体" w:cs="Arial"/>
          <w:kern w:val="0"/>
          <w:sz w:val="24"/>
          <w:szCs w:val="24"/>
          <w:lang w:val="en-US" w:eastAsia="zh-CN"/>
        </w:rPr>
        <w:t>2、水箱主体结构及内部加固、支撑件、扶梯必须为SUS304不锈钢材质符合《生活饮用水卫生规范》，其机械性能应符合GB/T3280的规定。</w:t>
      </w: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w:t>
      </w:r>
      <w:r>
        <w:rPr>
          <w:rFonts w:hint="eastAsia" w:cs="仿宋" w:asciiTheme="minorEastAsia" w:hAnsiTheme="minorEastAsia" w:eastAsiaTheme="minorEastAsia"/>
          <w:lang w:val="en-US" w:eastAsia="zh-CN"/>
        </w:rPr>
        <w:t>.</w:t>
      </w:r>
      <w:r>
        <w:rPr>
          <w:rFonts w:hint="eastAsia" w:ascii="宋体" w:hAnsi="宋体" w:eastAsia="宋体" w:cs="Arial"/>
          <w:kern w:val="0"/>
          <w:sz w:val="24"/>
          <w:szCs w:val="24"/>
          <w:lang w:val="en-US" w:eastAsia="zh-CN"/>
        </w:rPr>
        <w:t>3、内部采用成品SUS304（40×40×4）成品角钢支撑加固，且结构方便水箱清洗工作。</w:t>
      </w: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w:t>
      </w:r>
      <w:r>
        <w:rPr>
          <w:rFonts w:hint="eastAsia" w:cs="仿宋" w:asciiTheme="minorEastAsia" w:hAnsiTheme="minorEastAsia" w:eastAsiaTheme="minorEastAsia"/>
          <w:lang w:val="en-US" w:eastAsia="zh-CN"/>
        </w:rPr>
        <w:t>.</w:t>
      </w:r>
      <w:r>
        <w:rPr>
          <w:rFonts w:hint="eastAsia" w:ascii="宋体" w:hAnsi="宋体" w:eastAsia="宋体" w:cs="Arial"/>
          <w:kern w:val="0"/>
          <w:sz w:val="24"/>
          <w:szCs w:val="24"/>
          <w:lang w:val="en-US" w:eastAsia="zh-CN"/>
        </w:rPr>
        <w:t>4、焊接材料应与水池（箱）同材质，加固处及组板焊接处应符合相关规范要求，水箱外顶部必须满焊以防灰尘及雨水渗入。焊缝应进行抗氧化处理，焊缝不允许存在裂纹、气孔、缩孔、夹渣、未焊透、焊瘤和烧穿等缺陷不锈。水箱内的支撑角铁必须焊接牢靠，并且不得影响日常水池清洗消毒工作。</w:t>
      </w:r>
    </w:p>
    <w:tbl>
      <w:tblPr>
        <w:tblStyle w:val="12"/>
        <w:tblpPr w:leftFromText="180" w:rightFromText="180" w:vertAnchor="text" w:tblpX="1059" w:tblpY="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46" w:type="dxa"/>
            <w:gridSpan w:val="5"/>
            <w:vAlign w:val="center"/>
          </w:tcPr>
          <w:p>
            <w:pPr>
              <w:numPr>
                <w:ilvl w:val="0"/>
                <w:numId w:val="0"/>
              </w:numPr>
              <w:spacing w:line="276" w:lineRule="auto"/>
              <w:jc w:val="center"/>
              <w:rPr>
                <w:rFonts w:hint="eastAsia"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水箱高度1500mm～3000mm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66" w:type="dxa"/>
            <w:vAlign w:val="center"/>
          </w:tcPr>
          <w:p>
            <w:pPr>
              <w:numPr>
                <w:ilvl w:val="0"/>
                <w:numId w:val="0"/>
              </w:numPr>
              <w:spacing w:line="276" w:lineRule="auto"/>
              <w:jc w:val="center"/>
              <w:rPr>
                <w:rFonts w:hint="eastAsia"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顶板及人孔盖板</w:t>
            </w:r>
          </w:p>
        </w:tc>
        <w:tc>
          <w:tcPr>
            <w:tcW w:w="1020" w:type="dxa"/>
            <w:vAlign w:val="center"/>
          </w:tcPr>
          <w:p>
            <w:pPr>
              <w:numPr>
                <w:ilvl w:val="0"/>
                <w:numId w:val="0"/>
              </w:numPr>
              <w:spacing w:line="276" w:lineRule="auto"/>
              <w:jc w:val="center"/>
              <w:rPr>
                <w:rFonts w:hint="eastAsia"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底板</w:t>
            </w:r>
          </w:p>
        </w:tc>
        <w:tc>
          <w:tcPr>
            <w:tcW w:w="3060" w:type="dxa"/>
            <w:gridSpan w:val="3"/>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66" w:type="dxa"/>
            <w:vMerge w:val="restart"/>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1.5mm</w:t>
            </w:r>
          </w:p>
        </w:tc>
        <w:tc>
          <w:tcPr>
            <w:tcW w:w="1020" w:type="dxa"/>
            <w:vMerge w:val="restart"/>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2.5mm</w:t>
            </w:r>
          </w:p>
        </w:tc>
        <w:tc>
          <w:tcPr>
            <w:tcW w:w="1020" w:type="dxa"/>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上部</w:t>
            </w:r>
          </w:p>
        </w:tc>
        <w:tc>
          <w:tcPr>
            <w:tcW w:w="1020" w:type="dxa"/>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中部</w:t>
            </w:r>
          </w:p>
        </w:tc>
        <w:tc>
          <w:tcPr>
            <w:tcW w:w="1020" w:type="dxa"/>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66" w:type="dxa"/>
            <w:vMerge w:val="continue"/>
            <w:vAlign w:val="center"/>
          </w:tcPr>
          <w:p>
            <w:pPr>
              <w:numPr>
                <w:ilvl w:val="0"/>
                <w:numId w:val="0"/>
              </w:numPr>
              <w:spacing w:line="276" w:lineRule="auto"/>
              <w:jc w:val="center"/>
              <w:rPr>
                <w:rFonts w:hint="eastAsia" w:ascii="Times New Roman" w:hAnsi="Times New Roman" w:eastAsia="仿宋_GB2312" w:cs="Times New Roman"/>
                <w:vertAlign w:val="baseline"/>
                <w:lang w:val="en-US" w:eastAsia="zh-CN"/>
              </w:rPr>
            </w:pPr>
          </w:p>
        </w:tc>
        <w:tc>
          <w:tcPr>
            <w:tcW w:w="1020" w:type="dxa"/>
            <w:vMerge w:val="continue"/>
            <w:vAlign w:val="center"/>
          </w:tcPr>
          <w:p>
            <w:pPr>
              <w:numPr>
                <w:ilvl w:val="0"/>
                <w:numId w:val="0"/>
              </w:numPr>
              <w:spacing w:line="276" w:lineRule="auto"/>
              <w:jc w:val="center"/>
              <w:rPr>
                <w:rFonts w:hint="eastAsia" w:ascii="Times New Roman" w:hAnsi="Times New Roman" w:eastAsia="仿宋_GB2312" w:cs="Times New Roman"/>
                <w:vertAlign w:val="baseline"/>
                <w:lang w:val="en-US" w:eastAsia="zh-CN"/>
              </w:rPr>
            </w:pPr>
          </w:p>
        </w:tc>
        <w:tc>
          <w:tcPr>
            <w:tcW w:w="1020" w:type="dxa"/>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1.5mm</w:t>
            </w:r>
          </w:p>
        </w:tc>
        <w:tc>
          <w:tcPr>
            <w:tcW w:w="1020" w:type="dxa"/>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2.0mm</w:t>
            </w:r>
          </w:p>
        </w:tc>
        <w:tc>
          <w:tcPr>
            <w:tcW w:w="1020" w:type="dxa"/>
            <w:vAlign w:val="center"/>
          </w:tcPr>
          <w:p>
            <w:pPr>
              <w:numPr>
                <w:ilvl w:val="0"/>
                <w:numId w:val="0"/>
              </w:numPr>
              <w:spacing w:line="276" w:lineRule="auto"/>
              <w:jc w:val="center"/>
              <w:rPr>
                <w:rFonts w:hint="default" w:ascii="Times New Roman" w:hAnsi="Times New Roman" w:eastAsia="仿宋_GB2312" w:cs="Times New Roman"/>
                <w:vertAlign w:val="baseline"/>
                <w:lang w:val="en-US" w:eastAsia="zh-CN"/>
              </w:rPr>
            </w:pPr>
            <w:r>
              <w:rPr>
                <w:rFonts w:hint="eastAsia" w:ascii="Times New Roman" w:hAnsi="Times New Roman" w:eastAsia="仿宋_GB2312" w:cs="Times New Roman"/>
                <w:vertAlign w:val="baseline"/>
                <w:lang w:val="en-US" w:eastAsia="zh-CN"/>
              </w:rPr>
              <w:t>2.5mm</w:t>
            </w:r>
          </w:p>
        </w:tc>
      </w:tr>
    </w:tbl>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w:t>
      </w:r>
      <w:r>
        <w:rPr>
          <w:rFonts w:hint="eastAsia" w:cs="仿宋" w:asciiTheme="minorEastAsia" w:hAnsiTheme="minorEastAsia" w:eastAsiaTheme="minorEastAsia"/>
          <w:lang w:val="en-US" w:eastAsia="zh-CN"/>
        </w:rPr>
        <w:t>.</w:t>
      </w:r>
      <w:r>
        <w:rPr>
          <w:rFonts w:hint="eastAsia" w:ascii="宋体" w:hAnsi="宋体" w:eastAsia="宋体" w:cs="Arial"/>
          <w:kern w:val="0"/>
          <w:sz w:val="24"/>
          <w:szCs w:val="24"/>
          <w:lang w:val="en-US" w:eastAsia="zh-CN"/>
        </w:rPr>
        <w:t>5、不锈钢板材厚度的公差符合如下规定：</w:t>
      </w:r>
    </w:p>
    <w:p>
      <w:pPr>
        <w:pStyle w:val="10"/>
        <w:adjustRightInd w:val="0"/>
        <w:snapToGrid w:val="0"/>
        <w:spacing w:before="75" w:after="75" w:line="360" w:lineRule="auto"/>
        <w:ind w:firstLine="1680" w:firstLineChars="700"/>
        <w:contextualSpacing/>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壁厚mm           允许公差mm</w:t>
      </w:r>
    </w:p>
    <w:p>
      <w:pPr>
        <w:pStyle w:val="10"/>
        <w:adjustRightInd w:val="0"/>
        <w:snapToGrid w:val="0"/>
        <w:spacing w:before="75" w:after="75" w:line="360" w:lineRule="auto"/>
        <w:ind w:firstLine="1680" w:firstLineChars="700"/>
        <w:contextualSpacing/>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1.5                   ±0.15</w:t>
      </w:r>
    </w:p>
    <w:p>
      <w:pPr>
        <w:pStyle w:val="10"/>
        <w:adjustRightInd w:val="0"/>
        <w:snapToGrid w:val="0"/>
        <w:spacing w:before="75" w:after="75" w:line="360" w:lineRule="auto"/>
        <w:ind w:firstLine="1680" w:firstLineChars="700"/>
        <w:contextualSpacing/>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2.0                   ±0.20</w:t>
      </w:r>
    </w:p>
    <w:p>
      <w:pPr>
        <w:pStyle w:val="10"/>
        <w:adjustRightInd w:val="0"/>
        <w:snapToGrid w:val="0"/>
        <w:spacing w:before="75" w:after="75" w:line="360" w:lineRule="auto"/>
        <w:ind w:firstLine="1680" w:firstLineChars="700"/>
        <w:contextualSpacing/>
        <w:rPr>
          <w:rFonts w:hint="eastAsia"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2.5                   ±0.25</w:t>
      </w: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w:t>
      </w:r>
      <w:r>
        <w:rPr>
          <w:rFonts w:hint="eastAsia" w:cs="仿宋" w:asciiTheme="minorEastAsia" w:hAnsiTheme="minorEastAsia" w:eastAsiaTheme="minorEastAsia"/>
          <w:lang w:val="en-US" w:eastAsia="zh-CN"/>
        </w:rPr>
        <w:t>.</w:t>
      </w:r>
      <w:r>
        <w:rPr>
          <w:rFonts w:hint="eastAsia" w:ascii="宋体" w:hAnsi="宋体" w:eastAsia="宋体" w:cs="Arial"/>
          <w:kern w:val="0"/>
          <w:sz w:val="24"/>
          <w:szCs w:val="24"/>
          <w:lang w:val="en-US" w:eastAsia="zh-CN"/>
        </w:rPr>
        <w:t>6、水箱容积大于50m3时，宜分为容积基本相等的两格，并能独立工作。</w:t>
      </w: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w:t>
      </w:r>
      <w:r>
        <w:rPr>
          <w:rFonts w:hint="eastAsia" w:cs="仿宋" w:asciiTheme="minorEastAsia" w:hAnsiTheme="minorEastAsia" w:eastAsiaTheme="minorEastAsia"/>
          <w:lang w:val="en-US" w:eastAsia="zh-CN"/>
        </w:rPr>
        <w:t>.</w:t>
      </w:r>
      <w:r>
        <w:rPr>
          <w:rFonts w:hint="eastAsia" w:ascii="宋体" w:hAnsi="宋体" w:eastAsia="宋体" w:cs="Arial"/>
          <w:kern w:val="0"/>
          <w:sz w:val="24"/>
          <w:szCs w:val="24"/>
          <w:lang w:val="en-US" w:eastAsia="zh-CN"/>
        </w:rPr>
        <w:t>7、进水控制阀（浮球阀）必须具有液压控制及水位差控制功能，水位浮球应设在人孔两侧，以方便更换维修，浮球阀不宜少于两个，且进水标高应一致。</w:t>
      </w:r>
    </w:p>
    <w:p>
      <w:pPr>
        <w:pStyle w:val="10"/>
        <w:adjustRightInd w:val="0"/>
        <w:snapToGrid w:val="0"/>
        <w:spacing w:before="75" w:after="75" w:line="360" w:lineRule="auto"/>
        <w:ind w:firstLine="480" w:firstLineChars="200"/>
        <w:contextualSpacing/>
        <w:rPr>
          <w:rFonts w:hint="eastAsia" w:ascii="宋体" w:hAnsi="宋体" w:eastAsia="宋体" w:cs="Arial"/>
          <w:kern w:val="0"/>
          <w:sz w:val="24"/>
          <w:szCs w:val="24"/>
          <w:lang w:val="en-US" w:eastAsia="zh-CN"/>
        </w:rPr>
      </w:pPr>
      <w:r>
        <w:rPr>
          <w:rFonts w:cs="仿宋" w:asciiTheme="minorEastAsia" w:hAnsiTheme="minorEastAsia" w:eastAsiaTheme="minorEastAsia"/>
        </w:rPr>
        <w:t>4.1</w:t>
      </w:r>
      <w:r>
        <w:rPr>
          <w:rFonts w:hint="eastAsia" w:cs="仿宋" w:asciiTheme="minorEastAsia" w:hAnsiTheme="minorEastAsia" w:eastAsiaTheme="minorEastAsia"/>
          <w:lang w:val="en-US" w:eastAsia="zh-CN"/>
        </w:rPr>
        <w:t>.</w:t>
      </w:r>
      <w:r>
        <w:rPr>
          <w:rFonts w:hint="eastAsia" w:ascii="宋体" w:hAnsi="宋体" w:eastAsia="宋体" w:cs="Arial"/>
          <w:kern w:val="0"/>
          <w:sz w:val="24"/>
          <w:szCs w:val="24"/>
          <w:lang w:val="en-US" w:eastAsia="zh-CN"/>
        </w:rPr>
        <w:t>8、水箱人孔必须加盖、密封盖上应有凹槽并加设密封圈，人孔应高出水池（箱）外顶0.1m。圆型人孔直径不应小于0.7m，方型人孔每边长不应小于0.6m。</w:t>
      </w:r>
    </w:p>
    <w:p>
      <w:pPr>
        <w:pStyle w:val="10"/>
        <w:adjustRightInd w:val="0"/>
        <w:snapToGrid w:val="0"/>
        <w:spacing w:before="75" w:after="75" w:line="360" w:lineRule="auto"/>
        <w:ind w:firstLine="480" w:firstLineChars="200"/>
        <w:contextualSpacing/>
        <w:rPr>
          <w:rFonts w:hint="default" w:cs="仿宋" w:asciiTheme="minorEastAsia" w:hAnsiTheme="minorEastAsia" w:eastAsiaTheme="minorEastAsia"/>
        </w:rPr>
      </w:pPr>
      <w:r>
        <w:rPr>
          <w:rFonts w:cs="仿宋" w:asciiTheme="minorEastAsia" w:hAnsiTheme="minorEastAsia" w:eastAsiaTheme="minorEastAsia"/>
        </w:rPr>
        <w:t>4.2质量要求：合格</w:t>
      </w:r>
    </w:p>
    <w:p>
      <w:pPr>
        <w:pStyle w:val="10"/>
        <w:adjustRightInd w:val="0"/>
        <w:snapToGrid w:val="0"/>
        <w:spacing w:before="75" w:after="75" w:line="360" w:lineRule="auto"/>
        <w:ind w:firstLine="480" w:firstLineChars="200"/>
        <w:contextualSpacing/>
        <w:rPr>
          <w:rFonts w:hint="default" w:cs="仿宋" w:asciiTheme="minorEastAsia" w:hAnsiTheme="minorEastAsia" w:eastAsiaTheme="minorEastAsia"/>
        </w:rPr>
      </w:pPr>
      <w:r>
        <w:rPr>
          <w:rFonts w:cs="仿宋" w:asciiTheme="minorEastAsia" w:hAnsiTheme="minorEastAsia" w:eastAsiaTheme="minorEastAsia"/>
        </w:rPr>
        <w:t>4.3验收方法：</w:t>
      </w:r>
      <w:r>
        <w:rPr>
          <w:rFonts w:cs="仿宋" w:asciiTheme="minorEastAsia" w:hAnsiTheme="minorEastAsia" w:eastAsiaTheme="minorEastAsia"/>
          <w:u w:val="single"/>
        </w:rPr>
        <w:t xml:space="preserve"> </w:t>
      </w:r>
      <w:r>
        <w:rPr>
          <w:rFonts w:hint="eastAsia" w:cs="仿宋" w:asciiTheme="minorEastAsia" w:hAnsiTheme="minorEastAsia" w:eastAsiaTheme="minorEastAsia"/>
          <w:u w:val="single"/>
        </w:rPr>
        <w:t>满足国标验收标准，包现场抽检合格，确保验收通过。所供产品必须符合国家职业健康安全和环保要求。</w:t>
      </w:r>
    </w:p>
    <w:p>
      <w:pPr>
        <w:pStyle w:val="10"/>
        <w:adjustRightInd w:val="0"/>
        <w:snapToGrid w:val="0"/>
        <w:spacing w:before="75" w:after="75" w:line="360" w:lineRule="auto"/>
        <w:ind w:firstLine="480" w:firstLineChars="200"/>
        <w:contextualSpacing/>
        <w:rPr>
          <w:rFonts w:hint="default" w:cs="仿宋" w:asciiTheme="minorEastAsia" w:hAnsiTheme="minorEastAsia" w:eastAsiaTheme="minorEastAsia"/>
        </w:rPr>
      </w:pPr>
      <w:r>
        <w:rPr>
          <w:rFonts w:cs="仿宋" w:asciiTheme="minorEastAsia" w:hAnsiTheme="minorEastAsia" w:eastAsiaTheme="minorEastAsia"/>
        </w:rPr>
        <w:t>4.4质保及售后服务：质保期为</w:t>
      </w:r>
      <w:r>
        <w:rPr>
          <w:rFonts w:cs="仿宋" w:asciiTheme="minorEastAsia" w:hAnsiTheme="minorEastAsia" w:eastAsiaTheme="minorEastAsia"/>
          <w:u w:val="single"/>
        </w:rPr>
        <w:t xml:space="preserve"> </w:t>
      </w:r>
      <w:r>
        <w:rPr>
          <w:rFonts w:hint="eastAsia" w:cs="仿宋" w:asciiTheme="minorEastAsia" w:hAnsiTheme="minorEastAsia" w:eastAsiaTheme="minorEastAsia"/>
          <w:u w:val="single"/>
          <w:lang w:val="en-US" w:eastAsia="zh-CN"/>
        </w:rPr>
        <w:t>2</w:t>
      </w:r>
      <w:r>
        <w:rPr>
          <w:rFonts w:cs="仿宋" w:asciiTheme="minorEastAsia" w:hAnsiTheme="minorEastAsia" w:eastAsiaTheme="minorEastAsia"/>
          <w:u w:val="single"/>
        </w:rPr>
        <w:t xml:space="preserve"> </w:t>
      </w:r>
      <w:r>
        <w:rPr>
          <w:rFonts w:cs="仿宋" w:asciiTheme="minorEastAsia" w:hAnsiTheme="minorEastAsia" w:eastAsiaTheme="minorEastAsia"/>
        </w:rPr>
        <w:t>年；质保期内免收维修服务费及额外费用；质保期内，如发生质量问题，投标人必须在接到招标人通知24小时内派代表到现场，作出令招标人满意答复；如不能及时处理，招标人可自行解决，其费用在质保金中扣除。</w:t>
      </w:r>
    </w:p>
    <w:p>
      <w:pPr>
        <w:snapToGrid w:val="0"/>
        <w:spacing w:line="276" w:lineRule="auto"/>
        <w:ind w:firstLine="472" w:firstLineChars="196"/>
        <w:outlineLvl w:val="0"/>
        <w:rPr>
          <w:rFonts w:cs="仿宋" w:asciiTheme="minorEastAsia" w:hAnsiTheme="minorEastAsia" w:eastAsiaTheme="minorEastAsia"/>
          <w:b/>
          <w:sz w:val="24"/>
          <w:u w:val="single"/>
        </w:rPr>
      </w:pPr>
      <w:r>
        <w:rPr>
          <w:rFonts w:hint="eastAsia" w:cs="仿宋" w:asciiTheme="minorEastAsia" w:hAnsiTheme="minorEastAsia" w:eastAsiaTheme="minorEastAsia"/>
          <w:b/>
          <w:sz w:val="24"/>
        </w:rPr>
        <w:t>五、其他要求：</w:t>
      </w:r>
      <w:r>
        <w:rPr>
          <w:rFonts w:hint="eastAsia" w:cs="仿宋" w:asciiTheme="minorEastAsia" w:hAnsiTheme="minorEastAsia" w:eastAsiaTheme="minorEastAsia"/>
          <w:b/>
          <w:sz w:val="24"/>
          <w:u w:val="single"/>
        </w:rPr>
        <w:t xml:space="preserve">                                              </w:t>
      </w:r>
    </w:p>
    <w:p>
      <w:pPr>
        <w:snapToGrid w:val="0"/>
        <w:spacing w:line="276" w:lineRule="auto"/>
        <w:ind w:firstLine="472" w:firstLineChars="196"/>
        <w:outlineLvl w:val="0"/>
        <w:rPr>
          <w:rFonts w:cs="仿宋" w:asciiTheme="minorEastAsia" w:hAnsiTheme="minorEastAsia" w:eastAsiaTheme="minorEastAsia"/>
          <w:b/>
          <w:bCs/>
          <w:sz w:val="24"/>
        </w:rPr>
      </w:pPr>
      <w:r>
        <w:rPr>
          <w:rFonts w:hint="eastAsia" w:cs="仿宋" w:asciiTheme="minorEastAsia" w:hAnsiTheme="minorEastAsia" w:eastAsiaTheme="minorEastAsia"/>
          <w:b/>
          <w:bCs/>
          <w:sz w:val="24"/>
        </w:rPr>
        <w:t>六、供货要求</w:t>
      </w:r>
    </w:p>
    <w:p>
      <w:pPr>
        <w:tabs>
          <w:tab w:val="left" w:pos="7920"/>
        </w:tabs>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6.1进场时间：</w:t>
      </w:r>
      <w:r>
        <w:rPr>
          <w:rFonts w:hint="eastAsia" w:cs="仿宋" w:asciiTheme="minorEastAsia" w:hAnsiTheme="minorEastAsia" w:eastAsiaTheme="minorEastAsia"/>
          <w:sz w:val="24"/>
          <w:u w:val="single"/>
        </w:rPr>
        <w:t>202</w:t>
      </w:r>
      <w:r>
        <w:rPr>
          <w:rFonts w:hint="eastAsia" w:cs="仿宋" w:asciiTheme="minorEastAsia" w:hAnsiTheme="minorEastAsia" w:eastAsiaTheme="minorEastAsia"/>
          <w:sz w:val="24"/>
          <w:u w:val="single"/>
          <w:lang w:val="en-US" w:eastAsia="zh-CN"/>
        </w:rPr>
        <w:t>2</w:t>
      </w:r>
      <w:r>
        <w:rPr>
          <w:rFonts w:hint="eastAsia" w:cs="仿宋" w:asciiTheme="minorEastAsia" w:hAnsiTheme="minorEastAsia" w:eastAsiaTheme="minorEastAsia"/>
          <w:sz w:val="24"/>
          <w:u w:val="single"/>
        </w:rPr>
        <w:t>年</w:t>
      </w:r>
      <w:r>
        <w:rPr>
          <w:rFonts w:hint="eastAsia" w:cs="仿宋" w:asciiTheme="minorEastAsia" w:hAnsiTheme="minorEastAsia" w:eastAsiaTheme="minorEastAsia"/>
          <w:sz w:val="24"/>
          <w:u w:val="single"/>
          <w:lang w:val="en-US" w:eastAsia="zh-CN"/>
        </w:rPr>
        <w:t>1</w:t>
      </w:r>
      <w:r>
        <w:rPr>
          <w:rFonts w:hint="eastAsia" w:cs="仿宋" w:asciiTheme="minorEastAsia" w:hAnsiTheme="minorEastAsia" w:eastAsiaTheme="minorEastAsia"/>
          <w:sz w:val="24"/>
          <w:u w:val="single"/>
        </w:rPr>
        <w:t>月</w:t>
      </w:r>
      <w:r>
        <w:rPr>
          <w:rFonts w:hint="eastAsia" w:cs="仿宋" w:asciiTheme="minorEastAsia" w:hAnsiTheme="minorEastAsia" w:eastAsiaTheme="minorEastAsia"/>
          <w:sz w:val="24"/>
          <w:u w:val="single"/>
          <w:lang w:val="en-US" w:eastAsia="zh-CN"/>
        </w:rPr>
        <w:t>下旬</w:t>
      </w:r>
      <w:r>
        <w:rPr>
          <w:rFonts w:hint="eastAsia" w:cs="仿宋" w:asciiTheme="minorEastAsia" w:hAnsiTheme="minorEastAsia" w:eastAsiaTheme="minorEastAsia"/>
          <w:sz w:val="24"/>
        </w:rPr>
        <w:t>，以招标人实际要求进场时间为准。</w:t>
      </w:r>
    </w:p>
    <w:p>
      <w:pPr>
        <w:pStyle w:val="2"/>
        <w:ind w:left="0" w:leftChars="0" w:firstLine="480"/>
        <w:rPr>
          <w:rFonts w:cs="仿宋" w:asciiTheme="minorEastAsia" w:hAnsiTheme="minorEastAsia" w:eastAsiaTheme="minorEastAsia"/>
          <w:sz w:val="24"/>
        </w:rPr>
      </w:pPr>
      <w:r>
        <w:rPr>
          <w:rFonts w:hint="eastAsia" w:cs="仿宋" w:asciiTheme="minorEastAsia" w:hAnsiTheme="minorEastAsia" w:eastAsiaTheme="minorEastAsia"/>
          <w:sz w:val="24"/>
        </w:rPr>
        <w:t>6.2送货地点：</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lang w:val="en-US" w:eastAsia="zh-CN"/>
        </w:rPr>
        <w:t>徐州市铜山路381号</w:t>
      </w:r>
      <w:r>
        <w:rPr>
          <w:rFonts w:hint="eastAsia" w:cs="仿宋" w:asciiTheme="minorEastAsia" w:hAnsiTheme="minorEastAsia" w:eastAsiaTheme="minorEastAsia"/>
          <w:sz w:val="24"/>
          <w:u w:val="single"/>
        </w:rPr>
        <w:t xml:space="preserve">                      </w:t>
      </w:r>
    </w:p>
    <w:p>
      <w:pPr>
        <w:tabs>
          <w:tab w:val="left" w:pos="7920"/>
        </w:tabs>
        <w:snapToGrid w:val="0"/>
        <w:spacing w:line="360" w:lineRule="auto"/>
        <w:ind w:firstLine="472" w:firstLineChars="196"/>
        <w:outlineLvl w:val="0"/>
        <w:rPr>
          <w:rFonts w:cs="仿宋" w:asciiTheme="minorEastAsia" w:hAnsiTheme="minorEastAsia" w:eastAsiaTheme="minorEastAsia"/>
          <w:b/>
          <w:bCs/>
          <w:sz w:val="24"/>
        </w:rPr>
      </w:pPr>
      <w:r>
        <w:rPr>
          <w:rFonts w:hint="eastAsia" w:cs="仿宋" w:asciiTheme="minorEastAsia" w:hAnsiTheme="minorEastAsia" w:eastAsiaTheme="minorEastAsia"/>
          <w:b/>
          <w:bCs/>
          <w:sz w:val="24"/>
        </w:rPr>
        <w:t>七、结算与付款</w:t>
      </w:r>
      <w:r>
        <w:rPr>
          <w:rFonts w:hint="eastAsia" w:cs="仿宋" w:asciiTheme="minorEastAsia" w:hAnsiTheme="minorEastAsia" w:eastAsiaTheme="minorEastAsia"/>
          <w:b/>
          <w:bCs/>
          <w:sz w:val="24"/>
        </w:rPr>
        <w:tab/>
      </w:r>
    </w:p>
    <w:p>
      <w:pPr>
        <w:autoSpaceDE w:val="0"/>
        <w:autoSpaceDN w:val="0"/>
        <w:adjustRightInd w:val="0"/>
        <w:snapToGrid w:val="0"/>
        <w:spacing w:line="360" w:lineRule="auto"/>
        <w:ind w:firstLine="424" w:firstLineChars="177"/>
        <w:contextualSpacing/>
        <w:rPr>
          <w:rFonts w:hint="default" w:cs="仿宋" w:asciiTheme="minorEastAsia" w:hAnsiTheme="minorEastAsia" w:eastAsiaTheme="minorEastAsia"/>
          <w:bCs/>
          <w:sz w:val="24"/>
          <w:lang w:val="en-US" w:eastAsia="zh-CN"/>
        </w:rPr>
      </w:pPr>
      <w:r>
        <w:rPr>
          <w:rFonts w:hint="eastAsia" w:cs="仿宋" w:asciiTheme="minorEastAsia" w:hAnsiTheme="minorEastAsia" w:eastAsiaTheme="minorEastAsia"/>
          <w:bCs/>
          <w:sz w:val="24"/>
        </w:rPr>
        <w:t>7.1付款方式：</w:t>
      </w:r>
      <w:r>
        <w:rPr>
          <w:rFonts w:hint="eastAsia" w:cs="仿宋" w:asciiTheme="minorEastAsia" w:hAnsiTheme="minorEastAsia" w:eastAsiaTheme="minorEastAsia"/>
          <w:bCs/>
          <w:sz w:val="24"/>
          <w:lang w:val="en-US" w:eastAsia="zh-CN"/>
        </w:rPr>
        <w:t>安装完成验收合格付至合同价的95%，留5%一年后无质量问题付清全款。</w:t>
      </w:r>
    </w:p>
    <w:p>
      <w:pPr>
        <w:pStyle w:val="2"/>
        <w:ind w:left="0" w:leftChars="0" w:firstLine="480"/>
        <w:rPr>
          <w:rFonts w:cs="仿宋" w:asciiTheme="minorEastAsia" w:hAnsiTheme="minorEastAsia" w:eastAsiaTheme="minorEastAsia"/>
          <w:color w:val="000000"/>
          <w:kern w:val="0"/>
          <w:sz w:val="24"/>
          <w:szCs w:val="20"/>
        </w:rPr>
      </w:pPr>
      <w:r>
        <w:rPr>
          <w:rFonts w:hint="eastAsia" w:cs="仿宋" w:asciiTheme="minorEastAsia" w:hAnsiTheme="minorEastAsia" w:eastAsiaTheme="minorEastAsia"/>
          <w:color w:val="000000"/>
          <w:kern w:val="0"/>
          <w:sz w:val="24"/>
          <w:szCs w:val="20"/>
        </w:rPr>
        <w:t>7.2其他要求：</w:t>
      </w:r>
      <w:r>
        <w:rPr>
          <w:rFonts w:hint="eastAsia" w:cs="仿宋" w:asciiTheme="minorEastAsia" w:hAnsiTheme="minorEastAsia" w:eastAsiaTheme="minorEastAsia"/>
          <w:color w:val="000000"/>
          <w:kern w:val="0"/>
          <w:sz w:val="24"/>
          <w:szCs w:val="20"/>
          <w:u w:val="single"/>
        </w:rPr>
        <w:t xml:space="preserve">           </w:t>
      </w:r>
    </w:p>
    <w:p>
      <w:pPr>
        <w:tabs>
          <w:tab w:val="left" w:pos="7920"/>
        </w:tabs>
        <w:snapToGrid w:val="0"/>
        <w:spacing w:line="360" w:lineRule="auto"/>
        <w:ind w:firstLine="472" w:firstLineChars="196"/>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
          <w:bCs/>
          <w:sz w:val="24"/>
        </w:rPr>
        <w:t>八、说明</w:t>
      </w:r>
    </w:p>
    <w:p>
      <w:pPr>
        <w:tabs>
          <w:tab w:val="left" w:pos="7920"/>
        </w:tabs>
        <w:snapToGrid w:val="0"/>
        <w:spacing w:line="360" w:lineRule="auto"/>
        <w:ind w:firstLine="470" w:firstLineChars="196"/>
        <w:outlineLvl w:val="0"/>
        <w:rPr>
          <w:rFonts w:hint="default" w:cs="仿宋" w:asciiTheme="minorEastAsia" w:hAnsiTheme="minorEastAsia" w:eastAsiaTheme="minorEastAsia"/>
          <w:bCs/>
          <w:color w:val="000000"/>
          <w:sz w:val="24"/>
          <w:lang w:val="en-US" w:eastAsia="zh-CN"/>
        </w:rPr>
      </w:pPr>
      <w:r>
        <w:rPr>
          <w:rFonts w:hint="eastAsia" w:cs="仿宋" w:asciiTheme="minorEastAsia" w:hAnsiTheme="minorEastAsia" w:eastAsiaTheme="minorEastAsia"/>
          <w:bCs/>
          <w:color w:val="000000"/>
          <w:sz w:val="24"/>
        </w:rPr>
        <w:t>8.1</w:t>
      </w:r>
      <w:r>
        <w:rPr>
          <w:rFonts w:hint="eastAsia" w:cs="仿宋" w:asciiTheme="minorEastAsia" w:hAnsiTheme="minorEastAsia" w:eastAsiaTheme="minorEastAsia"/>
          <w:bCs/>
          <w:color w:val="000000"/>
          <w:sz w:val="24"/>
          <w:lang w:val="en-US" w:eastAsia="zh-CN"/>
        </w:rPr>
        <w:t xml:space="preserve"> 因原水箱损坏，原有水箱需要拆除并堆放整齐放置指定位置，然后再安装新水箱</w:t>
      </w:r>
    </w:p>
    <w:p>
      <w:pPr>
        <w:pStyle w:val="10"/>
        <w:spacing w:before="60" w:after="0" w:line="360" w:lineRule="auto"/>
        <w:ind w:right="300"/>
        <w:rPr>
          <w:rFonts w:hint="default" w:cs="仿宋" w:asciiTheme="minorEastAsia" w:hAnsiTheme="minorEastAsia" w:eastAsiaTheme="minorEastAsia"/>
          <w:bCs/>
          <w:kern w:val="2"/>
          <w:szCs w:val="24"/>
        </w:rPr>
      </w:pPr>
    </w:p>
    <w:p>
      <w:pPr>
        <w:pStyle w:val="10"/>
        <w:spacing w:before="60" w:after="0" w:line="360" w:lineRule="auto"/>
        <w:ind w:right="300"/>
        <w:rPr>
          <w:rFonts w:hint="default" w:cs="仿宋" w:asciiTheme="minorEastAsia" w:hAnsiTheme="minorEastAsia" w:eastAsiaTheme="minorEastAsia"/>
          <w:bCs/>
          <w:kern w:val="2"/>
          <w:szCs w:val="24"/>
        </w:rPr>
      </w:pPr>
    </w:p>
    <w:sectPr>
      <w:headerReference r:id="rId4" w:type="first"/>
      <w:footerReference r:id="rId6" w:type="first"/>
      <w:headerReference r:id="rId3" w:type="default"/>
      <w:footerReference r:id="rId5" w:type="default"/>
      <w:pgSz w:w="12240" w:h="15840"/>
      <w:pgMar w:top="1304" w:right="1219" w:bottom="1304" w:left="1219" w:header="720" w:footer="720" w:gutter="0"/>
      <w:pgNumType w:fmt="decimal"/>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5"/>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Q2H8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zQ2H8oBAACcAwAADgAAAAAAAAABACAAAAAeAQAAZHJzL2Uyb0Rv&#10;Yy54bWxQSwUGAAAAAAYABgBZAQAAWgU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g9qMsBAACc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pDiWUGB37+/u3849f551ey&#10;LFdVUqj3UGPis8fUONy7Afdm9gM6E/FBBpO+SIlgHPU9XfQVQyQ8PapWVV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QYPaj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p>
    <w:pPr>
      <w:pStyle w:val="8"/>
      <w:jc w:val="center"/>
    </w:pPr>
  </w:p>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aYJL0wAAAAUBAAAPAAAAAAAAAAEAIAAAACIAAABkcnMv&#10;ZG93bnJldi54bWxQSwECFAAUAAAACACHTuJA0f2TTM8BAACnAwAADgAAAAAAAAABACAAAAAiAQAA&#10;ZHJzL2Uyb0RvYy54bWxQSwUGAAAAAAYABgBZAQAAYwUAAAAA&#10;">
              <v:fill on="f" focussize="0,0"/>
              <v:stroke on="f" weight="1.25pt"/>
              <v:imagedata o:title=""/>
              <o:lock v:ext="edit" aspectratio="f"/>
              <v:textbox inset="0mm,0mm,0mm,0mm" style="mso-fit-shape-to-text:t;">
                <w:txbxContent>
                  <w:p>
                    <w:pPr>
                      <w:pStyle w:val="8"/>
                      <w:jc w:val="cente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D4B4F"/>
    <w:multiLevelType w:val="singleLevel"/>
    <w:tmpl w:val="5C3D4B4F"/>
    <w:lvl w:ilvl="0" w:tentative="0">
      <w:start w:val="1"/>
      <w:numFmt w:val="decimal"/>
      <w:pStyle w:val="4"/>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74B26"/>
    <w:rsid w:val="000239E9"/>
    <w:rsid w:val="00032770"/>
    <w:rsid w:val="00041E43"/>
    <w:rsid w:val="00065E2C"/>
    <w:rsid w:val="00070187"/>
    <w:rsid w:val="00074899"/>
    <w:rsid w:val="0009004D"/>
    <w:rsid w:val="000A72F9"/>
    <w:rsid w:val="000C12B9"/>
    <w:rsid w:val="000E5ED0"/>
    <w:rsid w:val="000E75D3"/>
    <w:rsid w:val="000F1E17"/>
    <w:rsid w:val="00103C3F"/>
    <w:rsid w:val="001160C5"/>
    <w:rsid w:val="00156D43"/>
    <w:rsid w:val="001D43EC"/>
    <w:rsid w:val="001D5A2B"/>
    <w:rsid w:val="001D7E50"/>
    <w:rsid w:val="001E3145"/>
    <w:rsid w:val="00206B24"/>
    <w:rsid w:val="00207705"/>
    <w:rsid w:val="002135A7"/>
    <w:rsid w:val="002250DB"/>
    <w:rsid w:val="00225694"/>
    <w:rsid w:val="002504A8"/>
    <w:rsid w:val="002649A5"/>
    <w:rsid w:val="002768FE"/>
    <w:rsid w:val="00282A90"/>
    <w:rsid w:val="002949C5"/>
    <w:rsid w:val="002B3BE1"/>
    <w:rsid w:val="002B4441"/>
    <w:rsid w:val="002E2BA6"/>
    <w:rsid w:val="002E5A85"/>
    <w:rsid w:val="003003B0"/>
    <w:rsid w:val="00305FC5"/>
    <w:rsid w:val="00321ED8"/>
    <w:rsid w:val="00325865"/>
    <w:rsid w:val="003456E8"/>
    <w:rsid w:val="00373726"/>
    <w:rsid w:val="003A367F"/>
    <w:rsid w:val="003E3F9D"/>
    <w:rsid w:val="003E428C"/>
    <w:rsid w:val="00417FD0"/>
    <w:rsid w:val="00421ADE"/>
    <w:rsid w:val="004704BA"/>
    <w:rsid w:val="00472619"/>
    <w:rsid w:val="00473A5B"/>
    <w:rsid w:val="0048057F"/>
    <w:rsid w:val="00492349"/>
    <w:rsid w:val="00495C64"/>
    <w:rsid w:val="004D3C58"/>
    <w:rsid w:val="004D693F"/>
    <w:rsid w:val="004E26DC"/>
    <w:rsid w:val="004E3FB4"/>
    <w:rsid w:val="004F37D5"/>
    <w:rsid w:val="00500AF8"/>
    <w:rsid w:val="00503733"/>
    <w:rsid w:val="005141D3"/>
    <w:rsid w:val="00514D90"/>
    <w:rsid w:val="00584372"/>
    <w:rsid w:val="00594784"/>
    <w:rsid w:val="005A0C9D"/>
    <w:rsid w:val="005B008A"/>
    <w:rsid w:val="005B280E"/>
    <w:rsid w:val="00632604"/>
    <w:rsid w:val="006407EA"/>
    <w:rsid w:val="00660365"/>
    <w:rsid w:val="00681FDC"/>
    <w:rsid w:val="006C1079"/>
    <w:rsid w:val="006C11AB"/>
    <w:rsid w:val="0070256D"/>
    <w:rsid w:val="00714A49"/>
    <w:rsid w:val="0073574A"/>
    <w:rsid w:val="0075501D"/>
    <w:rsid w:val="0077124C"/>
    <w:rsid w:val="00784215"/>
    <w:rsid w:val="00787D6A"/>
    <w:rsid w:val="007A0FDE"/>
    <w:rsid w:val="007B1DBB"/>
    <w:rsid w:val="007C0C4F"/>
    <w:rsid w:val="007F2719"/>
    <w:rsid w:val="007F526F"/>
    <w:rsid w:val="007F5360"/>
    <w:rsid w:val="008012D4"/>
    <w:rsid w:val="008141BD"/>
    <w:rsid w:val="00814779"/>
    <w:rsid w:val="00830E9F"/>
    <w:rsid w:val="00851CEB"/>
    <w:rsid w:val="008858FB"/>
    <w:rsid w:val="00890E9D"/>
    <w:rsid w:val="008A0724"/>
    <w:rsid w:val="008E3504"/>
    <w:rsid w:val="00910D41"/>
    <w:rsid w:val="0092584C"/>
    <w:rsid w:val="00936347"/>
    <w:rsid w:val="00952507"/>
    <w:rsid w:val="0095268D"/>
    <w:rsid w:val="0096283D"/>
    <w:rsid w:val="009668FA"/>
    <w:rsid w:val="00990E65"/>
    <w:rsid w:val="00991592"/>
    <w:rsid w:val="009E1AC0"/>
    <w:rsid w:val="009F1905"/>
    <w:rsid w:val="009F5F0A"/>
    <w:rsid w:val="00A55823"/>
    <w:rsid w:val="00A56631"/>
    <w:rsid w:val="00A83DA0"/>
    <w:rsid w:val="00AB0081"/>
    <w:rsid w:val="00AD66E7"/>
    <w:rsid w:val="00AE0BC4"/>
    <w:rsid w:val="00B424E3"/>
    <w:rsid w:val="00B47612"/>
    <w:rsid w:val="00B626F1"/>
    <w:rsid w:val="00B6288C"/>
    <w:rsid w:val="00BC0CCF"/>
    <w:rsid w:val="00BD0DD8"/>
    <w:rsid w:val="00C0278D"/>
    <w:rsid w:val="00C2322D"/>
    <w:rsid w:val="00C24DC3"/>
    <w:rsid w:val="00C42E09"/>
    <w:rsid w:val="00C50012"/>
    <w:rsid w:val="00C50B34"/>
    <w:rsid w:val="00C51DA7"/>
    <w:rsid w:val="00C57608"/>
    <w:rsid w:val="00C614CE"/>
    <w:rsid w:val="00C67A80"/>
    <w:rsid w:val="00C83AD9"/>
    <w:rsid w:val="00C869AE"/>
    <w:rsid w:val="00CA05E8"/>
    <w:rsid w:val="00CB27F0"/>
    <w:rsid w:val="00CB3D57"/>
    <w:rsid w:val="00CD0B50"/>
    <w:rsid w:val="00CE46D6"/>
    <w:rsid w:val="00D12E21"/>
    <w:rsid w:val="00D33249"/>
    <w:rsid w:val="00D7126C"/>
    <w:rsid w:val="00D72913"/>
    <w:rsid w:val="00D96443"/>
    <w:rsid w:val="00DE6112"/>
    <w:rsid w:val="00DF1B17"/>
    <w:rsid w:val="00E00FF8"/>
    <w:rsid w:val="00E02C78"/>
    <w:rsid w:val="00E105DB"/>
    <w:rsid w:val="00E67262"/>
    <w:rsid w:val="00E75568"/>
    <w:rsid w:val="00EC19CC"/>
    <w:rsid w:val="00EC2C7B"/>
    <w:rsid w:val="00EE0161"/>
    <w:rsid w:val="00EE1E18"/>
    <w:rsid w:val="00F03C52"/>
    <w:rsid w:val="00F2767C"/>
    <w:rsid w:val="00F74EC5"/>
    <w:rsid w:val="00F75F99"/>
    <w:rsid w:val="00F8495F"/>
    <w:rsid w:val="00F9204E"/>
    <w:rsid w:val="00F96264"/>
    <w:rsid w:val="00FB1567"/>
    <w:rsid w:val="00FC293E"/>
    <w:rsid w:val="00FF75B0"/>
    <w:rsid w:val="02196814"/>
    <w:rsid w:val="02707DE9"/>
    <w:rsid w:val="027C4B25"/>
    <w:rsid w:val="02DB6A1F"/>
    <w:rsid w:val="03386F28"/>
    <w:rsid w:val="042518DB"/>
    <w:rsid w:val="049F07AA"/>
    <w:rsid w:val="0DD84145"/>
    <w:rsid w:val="0ED812FD"/>
    <w:rsid w:val="101F7038"/>
    <w:rsid w:val="109C0293"/>
    <w:rsid w:val="113F721C"/>
    <w:rsid w:val="13DF2689"/>
    <w:rsid w:val="1561705A"/>
    <w:rsid w:val="18381170"/>
    <w:rsid w:val="1AE81655"/>
    <w:rsid w:val="1B482578"/>
    <w:rsid w:val="1CDE597E"/>
    <w:rsid w:val="1D5E6FF6"/>
    <w:rsid w:val="1DE46C4E"/>
    <w:rsid w:val="1E1A15EF"/>
    <w:rsid w:val="20012D10"/>
    <w:rsid w:val="217B2626"/>
    <w:rsid w:val="23374B26"/>
    <w:rsid w:val="235834A9"/>
    <w:rsid w:val="23EC50DA"/>
    <w:rsid w:val="2575168C"/>
    <w:rsid w:val="25B439AF"/>
    <w:rsid w:val="27A110F5"/>
    <w:rsid w:val="289D4EF0"/>
    <w:rsid w:val="29A562F0"/>
    <w:rsid w:val="2BCB4135"/>
    <w:rsid w:val="2C346CEA"/>
    <w:rsid w:val="30372C46"/>
    <w:rsid w:val="30BC29E1"/>
    <w:rsid w:val="30D53CCA"/>
    <w:rsid w:val="350747E1"/>
    <w:rsid w:val="35096566"/>
    <w:rsid w:val="37425419"/>
    <w:rsid w:val="38596B76"/>
    <w:rsid w:val="39C86063"/>
    <w:rsid w:val="41CE6354"/>
    <w:rsid w:val="454B51CD"/>
    <w:rsid w:val="48742EAB"/>
    <w:rsid w:val="4B547246"/>
    <w:rsid w:val="4CE8567B"/>
    <w:rsid w:val="50F929F2"/>
    <w:rsid w:val="51571248"/>
    <w:rsid w:val="571E2B56"/>
    <w:rsid w:val="5B8375E4"/>
    <w:rsid w:val="600D5A08"/>
    <w:rsid w:val="6057168E"/>
    <w:rsid w:val="632E2226"/>
    <w:rsid w:val="63CE52DF"/>
    <w:rsid w:val="64632179"/>
    <w:rsid w:val="648C3D0C"/>
    <w:rsid w:val="667770AF"/>
    <w:rsid w:val="689C0ABD"/>
    <w:rsid w:val="69E45D7A"/>
    <w:rsid w:val="72DF5BFA"/>
    <w:rsid w:val="73263E60"/>
    <w:rsid w:val="7BB85343"/>
    <w:rsid w:val="7C37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numPr>
        <w:ilvl w:val="0"/>
        <w:numId w:val="1"/>
      </w:numPr>
      <w:spacing w:line="500" w:lineRule="exact"/>
      <w:jc w:val="left"/>
      <w:outlineLvl w:val="0"/>
    </w:pPr>
    <w:rPr>
      <w:rFonts w:ascii="仿宋_GB2312" w:hAnsi="Calibri" w:eastAsia="仿宋_GB2312"/>
      <w:b/>
      <w:bCs/>
      <w:kern w:val="44"/>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Salutation"/>
    <w:basedOn w:val="1"/>
    <w:next w:val="1"/>
    <w:qFormat/>
    <w:uiPriority w:val="0"/>
    <w:rPr>
      <w:sz w:val="24"/>
    </w:rPr>
  </w:style>
  <w:style w:type="paragraph" w:styleId="6">
    <w:name w:val="Body Text"/>
    <w:basedOn w:val="1"/>
    <w:qFormat/>
    <w:uiPriority w:val="0"/>
    <w:rPr>
      <w:sz w:val="32"/>
    </w:rPr>
  </w:style>
  <w:style w:type="paragraph" w:styleId="7">
    <w:name w:val="Plain Text"/>
    <w:basedOn w:val="1"/>
    <w:link w:val="24"/>
    <w:qFormat/>
    <w:uiPriority w:val="0"/>
    <w:pPr>
      <w:ind w:firstLine="200" w:firstLineChars="200"/>
    </w:pPr>
    <w:rPr>
      <w:rFonts w:ascii="宋体" w:hAnsi="Courier New" w:eastAsia="仿宋_GB2312"/>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after="100"/>
      <w:jc w:val="left"/>
    </w:pPr>
    <w:rPr>
      <w:rFonts w:hint="eastAsia" w:ascii="宋体" w:hAnsi="宋体"/>
      <w:color w:val="000000"/>
      <w:kern w:val="0"/>
      <w:sz w:val="24"/>
      <w:szCs w:val="20"/>
    </w:rPr>
  </w:style>
  <w:style w:type="table" w:styleId="12">
    <w:name w:val="Table Grid"/>
    <w:basedOn w:val="11"/>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qFormat/>
    <w:uiPriority w:val="0"/>
    <w:rPr>
      <w:color w:val="0563C1"/>
      <w:u w:val="single"/>
    </w:rPr>
  </w:style>
  <w:style w:type="character" w:customStyle="1" w:styleId="17">
    <w:name w:val="aa1"/>
    <w:basedOn w:val="13"/>
    <w:qFormat/>
    <w:uiPriority w:val="0"/>
    <w:rPr>
      <w:rFonts w:hint="eastAsia" w:ascii="宋体" w:hAnsi="宋体" w:eastAsia="宋体"/>
      <w:sz w:val="18"/>
      <w:szCs w:val="18"/>
    </w:rPr>
  </w:style>
  <w:style w:type="paragraph" w:styleId="18">
    <w:name w:val="No Spacing"/>
    <w:qFormat/>
    <w:uiPriority w:val="1"/>
    <w:pPr>
      <w:widowControl w:val="0"/>
      <w:snapToGrid w:val="0"/>
      <w:spacing w:line="500" w:lineRule="exact"/>
      <w:ind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19">
    <w:name w:val="无间隔1"/>
    <w:qFormat/>
    <w:uiPriority w:val="1"/>
    <w:pPr>
      <w:widowControl w:val="0"/>
      <w:snapToGrid w:val="0"/>
      <w:spacing w:line="500" w:lineRule="exact"/>
      <w:ind w:firstLine="200" w:firstLineChars="200"/>
      <w:jc w:val="both"/>
    </w:pPr>
    <w:rPr>
      <w:rFonts w:ascii="仿宋_GB2312" w:hAnsi="Calibri" w:eastAsia="仿宋_GB2312" w:cs="Times New Roman"/>
      <w:kern w:val="2"/>
      <w:sz w:val="24"/>
      <w:szCs w:val="24"/>
      <w:lang w:val="en-US" w:eastAsia="zh-CN" w:bidi="ar-SA"/>
    </w:rPr>
  </w:style>
  <w:style w:type="character" w:customStyle="1" w:styleId="20">
    <w:name w:val="正文首行缩进 2 Char"/>
    <w:basedOn w:val="13"/>
    <w:link w:val="2"/>
    <w:qFormat/>
    <w:uiPriority w:val="0"/>
    <w:rPr>
      <w:kern w:val="2"/>
      <w:sz w:val="21"/>
      <w:szCs w:val="24"/>
    </w:rPr>
  </w:style>
  <w:style w:type="paragraph" w:styleId="21">
    <w:name w:val="List Paragraph"/>
    <w:basedOn w:val="1"/>
    <w:unhideWhenUsed/>
    <w:qFormat/>
    <w:uiPriority w:val="99"/>
    <w:pPr>
      <w:ind w:firstLine="420" w:firstLineChars="200"/>
    </w:pPr>
  </w:style>
  <w:style w:type="paragraph" w:customStyle="1" w:styleId="22">
    <w:name w:val="BZH-正文"/>
    <w:basedOn w:val="1"/>
    <w:qFormat/>
    <w:uiPriority w:val="99"/>
    <w:pPr>
      <w:spacing w:line="360" w:lineRule="exact"/>
      <w:ind w:left="964"/>
    </w:pPr>
    <w:rPr>
      <w:rFonts w:eastAsia="仿宋_GB2312"/>
      <w:sz w:val="24"/>
    </w:rPr>
  </w:style>
  <w:style w:type="paragraph" w:customStyle="1" w:styleId="23">
    <w:name w:val="Table Paragraph"/>
    <w:basedOn w:val="1"/>
    <w:qFormat/>
    <w:uiPriority w:val="1"/>
    <w:pPr>
      <w:jc w:val="left"/>
    </w:pPr>
    <w:rPr>
      <w:rFonts w:ascii="Calibri" w:hAnsi="Calibri" w:eastAsia="Calibri"/>
      <w:kern w:val="0"/>
      <w:sz w:val="22"/>
      <w:szCs w:val="22"/>
      <w:lang w:eastAsia="en-US"/>
    </w:rPr>
  </w:style>
  <w:style w:type="character" w:customStyle="1" w:styleId="24">
    <w:name w:val="纯文本 Char"/>
    <w:basedOn w:val="13"/>
    <w:link w:val="7"/>
    <w:qFormat/>
    <w:uiPriority w:val="0"/>
    <w:rPr>
      <w:rFonts w:ascii="宋体" w:hAnsi="Courier New" w:eastAsia="仿宋_GB2312"/>
      <w:kern w:val="2"/>
      <w:sz w:val="21"/>
      <w:szCs w:val="21"/>
    </w:rPr>
  </w:style>
  <w:style w:type="paragraph" w:customStyle="1" w:styleId="25">
    <w:name w:val="标题 31"/>
    <w:basedOn w:val="1"/>
    <w:qFormat/>
    <w:uiPriority w:val="1"/>
    <w:pPr>
      <w:outlineLvl w:val="2"/>
    </w:pPr>
    <w:rPr>
      <w:rFonts w:ascii="华文中宋" w:eastAsia="华文中宋" w:cs="华文中宋"/>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077D2-321E-492C-ACFD-ED26E7C893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1090</Words>
  <Characters>6219</Characters>
  <Lines>51</Lines>
  <Paragraphs>14</Paragraphs>
  <TotalTime>40</TotalTime>
  <ScaleCrop>false</ScaleCrop>
  <LinksUpToDate>false</LinksUpToDate>
  <CharactersWithSpaces>7295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2020-06-15T02:22:00Z</dcterms:created>
  <dc:creator>admin</dc:creator>
  <cp:lastModifiedBy>红辣椒</cp:lastModifiedBy>
  <cp:lastPrinted>2021-07-30T09:08:00Z</cp:lastPrinted>
  <dcterms:modified xsi:type="dcterms:W3CDTF">2021-12-31T01:44:26Z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983802AD5D734D6096EB2A3B31F768FA</vt:lpwstr>
  </property>
</Properties>
</file>