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sz w:val="36"/>
          <w:szCs w:val="36"/>
        </w:rPr>
      </w:pPr>
      <w:r>
        <w:drawing>
          <wp:inline distT="0" distB="0" distL="114300" distR="114300">
            <wp:extent cx="4017645" cy="723900"/>
            <wp:effectExtent l="0" t="0" r="1905"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4017645" cy="723900"/>
                    </a:xfrm>
                    <a:prstGeom prst="rect">
                      <a:avLst/>
                    </a:prstGeom>
                    <a:noFill/>
                    <a:ln>
                      <a:noFill/>
                    </a:ln>
                  </pic:spPr>
                </pic:pic>
              </a:graphicData>
            </a:graphic>
          </wp:inline>
        </w:drawing>
      </w:r>
    </w:p>
    <w:p>
      <w:pPr>
        <w:spacing w:line="480" w:lineRule="auto"/>
        <w:jc w:val="center"/>
        <w:rPr>
          <w:b/>
          <w:sz w:val="36"/>
          <w:szCs w:val="36"/>
        </w:rPr>
      </w:pPr>
    </w:p>
    <w:p>
      <w:pPr>
        <w:spacing w:line="480" w:lineRule="auto"/>
        <w:jc w:val="both"/>
        <w:rPr>
          <w:b/>
          <w:sz w:val="36"/>
          <w:szCs w:val="36"/>
        </w:rPr>
      </w:pPr>
    </w:p>
    <w:p>
      <w:pPr>
        <w:spacing w:line="480" w:lineRule="auto"/>
        <w:jc w:val="both"/>
        <w:rPr>
          <w:b/>
          <w:sz w:val="36"/>
          <w:szCs w:val="36"/>
        </w:rPr>
      </w:pPr>
    </w:p>
    <w:p>
      <w:pPr>
        <w:spacing w:line="480" w:lineRule="auto"/>
        <w:jc w:val="center"/>
        <w:rPr>
          <w:b/>
          <w:sz w:val="36"/>
          <w:szCs w:val="36"/>
        </w:rPr>
      </w:pPr>
    </w:p>
    <w:p>
      <w:pPr>
        <w:pStyle w:val="9"/>
        <w:widowControl/>
        <w:spacing w:before="0" w:beforeAutospacing="0" w:after="0" w:afterAutospacing="0" w:line="720" w:lineRule="auto"/>
        <w:jc w:val="center"/>
        <w:rPr>
          <w:rFonts w:hint="eastAsia" w:ascii="黑体" w:hAnsi="黑体" w:eastAsia="黑体" w:cs="黑体"/>
          <w:color w:val="333333"/>
          <w:sz w:val="48"/>
          <w:szCs w:val="48"/>
        </w:rPr>
      </w:pPr>
      <w:r>
        <w:rPr>
          <w:rFonts w:hint="eastAsia" w:ascii="黑体" w:hAnsi="黑体" w:eastAsia="黑体" w:cs="黑体"/>
          <w:color w:val="333333"/>
          <w:sz w:val="48"/>
          <w:szCs w:val="48"/>
        </w:rPr>
        <w:t>启明星辰信息技术集团股份有限公司</w:t>
      </w:r>
    </w:p>
    <w:p>
      <w:pPr>
        <w:pStyle w:val="9"/>
        <w:widowControl/>
        <w:spacing w:before="0" w:beforeAutospacing="0" w:after="0" w:afterAutospacing="0" w:line="720" w:lineRule="auto"/>
        <w:jc w:val="center"/>
        <w:rPr>
          <w:rFonts w:hint="eastAsia" w:ascii="黑体" w:hAnsi="黑体" w:eastAsia="黑体" w:cs="黑体"/>
          <w:color w:val="333333"/>
          <w:sz w:val="48"/>
          <w:szCs w:val="48"/>
        </w:rPr>
      </w:pPr>
      <w:r>
        <w:rPr>
          <w:rFonts w:hint="eastAsia" w:ascii="黑体" w:hAnsi="黑体" w:eastAsia="黑体" w:cs="黑体"/>
          <w:color w:val="333333"/>
          <w:sz w:val="48"/>
          <w:szCs w:val="48"/>
        </w:rPr>
        <w:t>参与高等职业教育人才培养工作年度报告</w:t>
      </w:r>
    </w:p>
    <w:p>
      <w:pPr>
        <w:pStyle w:val="9"/>
        <w:widowControl/>
        <w:spacing w:before="0" w:beforeAutospacing="0" w:after="0" w:afterAutospacing="0" w:line="720" w:lineRule="auto"/>
        <w:jc w:val="center"/>
        <w:rPr>
          <w:rFonts w:hint="eastAsia" w:ascii="黑体" w:hAnsi="黑体" w:eastAsia="黑体" w:cs="黑体"/>
          <w:color w:val="333333"/>
          <w:sz w:val="48"/>
          <w:szCs w:val="48"/>
        </w:rPr>
      </w:pPr>
      <w:r>
        <w:rPr>
          <w:rFonts w:hint="eastAsia" w:ascii="黑体" w:hAnsi="黑体" w:eastAsia="黑体" w:cs="黑体"/>
          <w:color w:val="333333"/>
          <w:sz w:val="48"/>
          <w:szCs w:val="48"/>
        </w:rPr>
        <w:t>（202</w:t>
      </w:r>
      <w:r>
        <w:rPr>
          <w:rFonts w:hint="eastAsia" w:ascii="黑体" w:hAnsi="黑体" w:eastAsia="黑体" w:cs="黑体"/>
          <w:color w:val="333333"/>
          <w:sz w:val="48"/>
          <w:szCs w:val="48"/>
          <w:lang w:val="en-US" w:eastAsia="zh-CN"/>
        </w:rPr>
        <w:t>2</w:t>
      </w:r>
      <w:r>
        <w:rPr>
          <w:rFonts w:hint="eastAsia" w:ascii="黑体" w:hAnsi="黑体" w:eastAsia="黑体" w:cs="黑体"/>
          <w:color w:val="333333"/>
          <w:sz w:val="48"/>
          <w:szCs w:val="48"/>
        </w:rPr>
        <w:t>）</w:t>
      </w:r>
    </w:p>
    <w:p>
      <w:pPr>
        <w:jc w:val="center"/>
        <w:rPr>
          <w:sz w:val="30"/>
          <w:szCs w:val="30"/>
        </w:rPr>
      </w:pPr>
    </w:p>
    <w:p>
      <w:pPr>
        <w:jc w:val="both"/>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both"/>
      </w:pPr>
      <w:bookmarkStart w:id="5" w:name="_GoBack"/>
      <w:bookmarkEnd w:id="5"/>
    </w:p>
    <w:p>
      <w:pPr>
        <w:jc w:val="center"/>
      </w:pPr>
    </w:p>
    <w:p>
      <w:pPr>
        <w:spacing w:line="480" w:lineRule="auto"/>
        <w:jc w:val="center"/>
        <w:rPr>
          <w:sz w:val="44"/>
          <w:szCs w:val="44"/>
        </w:rPr>
      </w:pPr>
    </w:p>
    <w:p>
      <w:pPr>
        <w:pStyle w:val="15"/>
        <w:jc w:val="center"/>
        <w:rPr>
          <w:b/>
          <w:sz w:val="36"/>
          <w:szCs w:val="36"/>
        </w:rPr>
        <w:sectPr>
          <w:pgSz w:w="11906" w:h="16838"/>
          <w:pgMar w:top="1417" w:right="1559" w:bottom="1417" w:left="1559" w:header="851" w:footer="992" w:gutter="0"/>
          <w:cols w:space="720" w:num="1"/>
          <w:docGrid w:type="lines" w:linePitch="312" w:charSpace="0"/>
        </w:sectPr>
      </w:pPr>
      <w:r>
        <w:rPr>
          <w:rFonts w:hint="eastAsia"/>
          <w:b/>
          <w:color w:val="auto"/>
          <w:sz w:val="36"/>
          <w:szCs w:val="36"/>
        </w:rPr>
        <w:t>二〇二</w:t>
      </w:r>
      <w:r>
        <w:rPr>
          <w:rFonts w:hint="eastAsia"/>
          <w:b/>
          <w:color w:val="auto"/>
          <w:sz w:val="36"/>
          <w:szCs w:val="36"/>
          <w:lang w:val="en-US" w:eastAsia="zh-CN"/>
        </w:rPr>
        <w:t>一</w:t>
      </w:r>
      <w:r>
        <w:rPr>
          <w:rFonts w:hint="eastAsia"/>
          <w:b/>
          <w:color w:val="auto"/>
          <w:sz w:val="36"/>
          <w:szCs w:val="36"/>
        </w:rPr>
        <w:t>年十</w:t>
      </w:r>
      <w:r>
        <w:rPr>
          <w:rFonts w:hint="eastAsia"/>
          <w:b/>
          <w:color w:val="auto"/>
          <w:sz w:val="36"/>
          <w:szCs w:val="36"/>
          <w:lang w:val="en-US" w:eastAsia="zh-CN"/>
        </w:rPr>
        <w:t>一</w:t>
      </w:r>
      <w:r>
        <w:rPr>
          <w:rFonts w:hint="eastAsia"/>
          <w:b/>
          <w:color w:val="auto"/>
          <w:sz w:val="36"/>
          <w:szCs w:val="36"/>
        </w:rPr>
        <w:t>月</w:t>
      </w:r>
      <w:r>
        <w:rPr>
          <w:b/>
          <w:sz w:val="36"/>
          <w:szCs w:val="36"/>
        </w:rPr>
        <w:t xml:space="preserve"> </w:t>
      </w:r>
    </w:p>
    <w:p>
      <w:pPr>
        <w:rPr>
          <w:lang w:val="zh-CN"/>
        </w:rPr>
      </w:pPr>
    </w:p>
    <w:p>
      <w:pPr>
        <w:pStyle w:val="15"/>
        <w:jc w:val="center"/>
        <w:rPr>
          <w:rFonts w:hint="eastAsia" w:asciiTheme="majorEastAsia" w:hAnsiTheme="majorEastAsia" w:eastAsiaTheme="majorEastAsia" w:cstheme="majorEastAsia"/>
          <w:b/>
          <w:color w:val="auto"/>
          <w:sz w:val="44"/>
          <w:szCs w:val="44"/>
          <w:lang w:val="zh-CN"/>
        </w:rPr>
      </w:pPr>
      <w:r>
        <w:rPr>
          <w:rFonts w:hint="eastAsia" w:asciiTheme="majorEastAsia" w:hAnsiTheme="majorEastAsia" w:eastAsiaTheme="majorEastAsia" w:cstheme="majorEastAsia"/>
          <w:b/>
          <w:color w:val="auto"/>
          <w:sz w:val="44"/>
          <w:szCs w:val="44"/>
          <w:lang w:val="zh-CN"/>
        </w:rPr>
        <w:t>目  录</w:t>
      </w:r>
    </w:p>
    <w:p>
      <w:pPr>
        <w:rPr>
          <w:rFonts w:hint="eastAsia"/>
          <w:lang w:val="zh-CN"/>
        </w:rPr>
      </w:pPr>
    </w:p>
    <w:p>
      <w:pPr>
        <w:pStyle w:val="7"/>
        <w:tabs>
          <w:tab w:val="right" w:leader="dot" w:pos="8296"/>
        </w:tabs>
        <w:rPr>
          <w:rFonts w:hint="eastAsia" w:ascii="黑体" w:hAnsi="黑体" w:eastAsia="黑体" w:cs="黑体"/>
          <w:kern w:val="2"/>
          <w:sz w:val="24"/>
          <w:szCs w:val="24"/>
        </w:rPr>
      </w:pPr>
      <w:r>
        <w:rPr>
          <w:rFonts w:ascii="黑体" w:hAnsi="黑体" w:eastAsia="黑体"/>
          <w:sz w:val="32"/>
          <w:szCs w:val="32"/>
        </w:rPr>
        <w:fldChar w:fldCharType="begin"/>
      </w:r>
      <w:r>
        <w:rPr>
          <w:rFonts w:ascii="黑体" w:hAnsi="黑体" w:eastAsia="黑体"/>
          <w:sz w:val="32"/>
          <w:szCs w:val="32"/>
        </w:rPr>
        <w:instrText xml:space="preserve"> TOC \o "1-3" \h \z \u </w:instrText>
      </w:r>
      <w:r>
        <w:rPr>
          <w:rFonts w:ascii="黑体" w:hAnsi="黑体" w:eastAsia="黑体"/>
          <w:sz w:val="32"/>
          <w:szCs w:val="32"/>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"_Toc59656589"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一、企业概况</w:t>
      </w:r>
      <w:r>
        <w:rPr>
          <w:rFonts w:hint="eastAsia" w:ascii="黑体" w:hAnsi="黑体" w:eastAsia="黑体" w:cs="黑体"/>
          <w:sz w:val="24"/>
          <w:szCs w:val="24"/>
        </w:rPr>
        <w:tab/>
      </w:r>
      <w:r>
        <w:rPr>
          <w:rFonts w:hint="eastAsia" w:ascii="黑体" w:hAnsi="黑体" w:eastAsia="黑体" w:cs="黑体"/>
          <w:sz w:val="24"/>
          <w:szCs w:val="24"/>
          <w:lang w:val="en-US" w:eastAsia="zh-CN"/>
        </w:rPr>
        <w:t>1</w:t>
      </w:r>
      <w:r>
        <w:rPr>
          <w:rFonts w:hint="eastAsia" w:ascii="黑体" w:hAnsi="黑体" w:eastAsia="黑体" w:cs="黑体"/>
          <w:sz w:val="24"/>
          <w:szCs w:val="24"/>
        </w:rPr>
        <w:fldChar w:fldCharType="end"/>
      </w:r>
    </w:p>
    <w:p>
      <w:pPr>
        <w:pStyle w:val="7"/>
        <w:tabs>
          <w:tab w:val="right" w:leader="dot" w:pos="8296"/>
        </w:tabs>
        <w:rPr>
          <w:rFonts w:hint="eastAsia" w:ascii="黑体" w:hAnsi="黑体" w:eastAsia="黑体" w:cs="黑体"/>
          <w:kern w:val="2"/>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"_Toc59656590"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二、合作历程</w:t>
      </w:r>
      <w:r>
        <w:rPr>
          <w:rFonts w:hint="eastAsia" w:ascii="黑体" w:hAnsi="黑体" w:eastAsia="黑体" w:cs="黑体"/>
          <w:sz w:val="24"/>
          <w:szCs w:val="24"/>
        </w:rPr>
        <w:tab/>
      </w:r>
      <w:r>
        <w:rPr>
          <w:rFonts w:hint="eastAsia" w:ascii="黑体" w:hAnsi="黑体" w:eastAsia="黑体" w:cs="黑体"/>
          <w:sz w:val="24"/>
          <w:szCs w:val="24"/>
          <w:lang w:val="en-US" w:eastAsia="zh-CN"/>
        </w:rPr>
        <w:t>1</w:t>
      </w:r>
      <w:r>
        <w:rPr>
          <w:rFonts w:hint="eastAsia" w:ascii="黑体" w:hAnsi="黑体" w:eastAsia="黑体" w:cs="黑体"/>
          <w:sz w:val="24"/>
          <w:szCs w:val="24"/>
        </w:rPr>
        <w:fldChar w:fldCharType="end"/>
      </w:r>
    </w:p>
    <w:p>
      <w:pPr>
        <w:pStyle w:val="7"/>
        <w:tabs>
          <w:tab w:val="right" w:leader="dot" w:pos="8296"/>
        </w:tabs>
        <w:rPr>
          <w:rFonts w:hint="eastAsia" w:ascii="黑体" w:hAnsi="黑体" w:eastAsia="黑体" w:cs="黑体"/>
          <w:kern w:val="2"/>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"_Toc59656591"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三、专业共建、人才培养</w:t>
      </w:r>
      <w:r>
        <w:rPr>
          <w:rFonts w:hint="eastAsia" w:ascii="黑体" w:hAnsi="黑体" w:eastAsia="黑体" w:cs="黑体"/>
          <w:sz w:val="24"/>
          <w:szCs w:val="24"/>
        </w:rPr>
        <w:tab/>
      </w:r>
      <w:r>
        <w:rPr>
          <w:rFonts w:hint="eastAsia" w:ascii="黑体" w:hAnsi="黑体" w:eastAsia="黑体" w:cs="黑体"/>
          <w:sz w:val="24"/>
          <w:szCs w:val="24"/>
          <w:lang w:val="en-US" w:eastAsia="zh-CN"/>
        </w:rPr>
        <w:t>2</w:t>
      </w:r>
      <w:r>
        <w:rPr>
          <w:rFonts w:hint="eastAsia" w:ascii="黑体" w:hAnsi="黑体" w:eastAsia="黑体" w:cs="黑体"/>
          <w:sz w:val="24"/>
          <w:szCs w:val="24"/>
        </w:rPr>
        <w:fldChar w:fldCharType="end"/>
      </w:r>
    </w:p>
    <w:p>
      <w:pPr>
        <w:pStyle w:val="7"/>
        <w:tabs>
          <w:tab w:val="right" w:leader="dot" w:pos="8296"/>
        </w:tabs>
        <w:rPr>
          <w:rFonts w:hint="eastAsia" w:ascii="黑体" w:hAnsi="黑体" w:eastAsia="黑体" w:cs="黑体"/>
          <w:kern w:val="2"/>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"_Toc59656592"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四、社会服务</w:t>
      </w:r>
      <w:r>
        <w:rPr>
          <w:rFonts w:hint="eastAsia" w:ascii="黑体" w:hAnsi="黑体" w:eastAsia="黑体" w:cs="黑体"/>
          <w:sz w:val="24"/>
          <w:szCs w:val="24"/>
        </w:rPr>
        <w:tab/>
      </w:r>
      <w:r>
        <w:rPr>
          <w:rFonts w:hint="eastAsia" w:ascii="黑体" w:hAnsi="黑体" w:eastAsia="黑体" w:cs="黑体"/>
          <w:sz w:val="24"/>
          <w:szCs w:val="24"/>
          <w:lang w:val="en-US" w:eastAsia="zh-CN"/>
        </w:rPr>
        <w:t>3</w:t>
      </w:r>
      <w:r>
        <w:rPr>
          <w:rFonts w:hint="eastAsia" w:ascii="黑体" w:hAnsi="黑体" w:eastAsia="黑体" w:cs="黑体"/>
          <w:sz w:val="24"/>
          <w:szCs w:val="24"/>
        </w:rPr>
        <w:fldChar w:fldCharType="end"/>
      </w:r>
    </w:p>
    <w:p>
      <w:pPr>
        <w:pStyle w:val="7"/>
        <w:tabs>
          <w:tab w:val="right" w:leader="dot" w:pos="8296"/>
        </w:tabs>
        <w:rPr>
          <w:rFonts w:hint="eastAsia" w:ascii="黑体" w:hAnsi="黑体" w:eastAsia="黑体" w:cs="黑体"/>
          <w:kern w:val="2"/>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"_Toc59656593"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五、保障制度</w:t>
      </w:r>
      <w:r>
        <w:rPr>
          <w:rFonts w:hint="eastAsia" w:ascii="黑体" w:hAnsi="黑体" w:eastAsia="黑体" w:cs="黑体"/>
          <w:sz w:val="24"/>
          <w:szCs w:val="24"/>
        </w:rPr>
        <w:tab/>
      </w:r>
      <w:r>
        <w:rPr>
          <w:rFonts w:hint="eastAsia" w:ascii="黑体" w:hAnsi="黑体" w:eastAsia="黑体" w:cs="黑体"/>
          <w:sz w:val="24"/>
          <w:szCs w:val="24"/>
          <w:lang w:val="en-US" w:eastAsia="zh-CN"/>
        </w:rPr>
        <w:t>4</w:t>
      </w:r>
      <w:r>
        <w:rPr>
          <w:rFonts w:hint="eastAsia" w:ascii="黑体" w:hAnsi="黑体" w:eastAsia="黑体" w:cs="黑体"/>
          <w:sz w:val="24"/>
          <w:szCs w:val="24"/>
        </w:rPr>
        <w:fldChar w:fldCharType="end"/>
      </w:r>
    </w:p>
    <w:p>
      <w:pPr>
        <w:pStyle w:val="7"/>
        <w:tabs>
          <w:tab w:val="right" w:leader="dot" w:pos="8296"/>
        </w:tabs>
        <w:rPr>
          <w:rFonts w:ascii="黑体" w:hAnsi="黑体" w:eastAsia="黑体" w:cstheme="minorBidi"/>
          <w:kern w:val="2"/>
          <w:sz w:val="32"/>
          <w:szCs w:val="32"/>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"_Toc59656594" </w:instrText>
      </w:r>
      <w:r>
        <w:rPr>
          <w:rFonts w:hint="eastAsia" w:ascii="黑体" w:hAnsi="黑体" w:eastAsia="黑体" w:cs="黑体"/>
          <w:sz w:val="24"/>
          <w:szCs w:val="24"/>
        </w:rPr>
        <w:fldChar w:fldCharType="separate"/>
      </w:r>
      <w:r>
        <w:rPr>
          <w:rStyle w:val="12"/>
          <w:rFonts w:hint="eastAsia" w:ascii="黑体" w:hAnsi="黑体" w:eastAsia="黑体" w:cs="黑体"/>
          <w:sz w:val="24"/>
          <w:szCs w:val="24"/>
        </w:rPr>
        <w:t>六、挑战与展望</w:t>
      </w:r>
      <w:r>
        <w:rPr>
          <w:rFonts w:hint="eastAsia" w:ascii="黑体" w:hAnsi="黑体" w:eastAsia="黑体" w:cs="黑体"/>
          <w:sz w:val="24"/>
          <w:szCs w:val="24"/>
        </w:rPr>
        <w:tab/>
      </w:r>
      <w:r>
        <w:rPr>
          <w:rFonts w:hint="eastAsia" w:ascii="黑体" w:hAnsi="黑体" w:eastAsia="黑体" w:cs="黑体"/>
          <w:sz w:val="24"/>
          <w:szCs w:val="24"/>
          <w:lang w:val="en-US" w:eastAsia="zh-CN"/>
        </w:rPr>
        <w:t>4</w:t>
      </w:r>
      <w:r>
        <w:rPr>
          <w:rFonts w:hint="eastAsia" w:ascii="黑体" w:hAnsi="黑体" w:eastAsia="黑体" w:cs="黑体"/>
          <w:sz w:val="24"/>
          <w:szCs w:val="24"/>
        </w:rPr>
        <w:fldChar w:fldCharType="end"/>
      </w:r>
    </w:p>
    <w:p>
      <w:pPr>
        <w:rPr>
          <w:rFonts w:ascii="黑体" w:hAnsi="黑体" w:eastAsia="黑体"/>
          <w:sz w:val="32"/>
          <w:szCs w:val="32"/>
        </w:rPr>
      </w:pPr>
      <w:r>
        <w:rPr>
          <w:rFonts w:ascii="黑体" w:hAnsi="黑体" w:eastAsia="黑体"/>
          <w:b/>
          <w:bCs/>
          <w:sz w:val="32"/>
          <w:szCs w:val="32"/>
          <w:lang w:val="zh-CN"/>
        </w:rPr>
        <w:fldChar w:fldCharType="end"/>
      </w:r>
    </w:p>
    <w:p>
      <w:pPr>
        <w:spacing w:line="480" w:lineRule="auto"/>
        <w:jc w:val="center"/>
        <w:rPr>
          <w:rFonts w:ascii="黑体" w:hAnsi="黑体" w:eastAsia="黑体"/>
          <w:sz w:val="32"/>
          <w:szCs w:val="32"/>
        </w:rPr>
      </w:pPr>
      <w:r>
        <w:rPr>
          <w:rFonts w:ascii="黑体" w:hAnsi="黑体" w:eastAsia="黑体"/>
          <w:sz w:val="32"/>
          <w:szCs w:val="32"/>
        </w:rPr>
        <w:t xml:space="preserve"> </w:t>
      </w:r>
    </w:p>
    <w:p>
      <w:pPr>
        <w:widowControl/>
        <w:jc w:val="left"/>
        <w:rPr>
          <w:sz w:val="30"/>
          <w:szCs w:val="30"/>
        </w:rPr>
      </w:pPr>
    </w:p>
    <w:p>
      <w:pPr>
        <w:pStyle w:val="2"/>
        <w:spacing w:before="120" w:after="120" w:line="360" w:lineRule="auto"/>
        <w:rPr>
          <w:rFonts w:hint="eastAsia"/>
          <w:sz w:val="28"/>
          <w:szCs w:val="28"/>
        </w:rPr>
        <w:sectPr>
          <w:footerReference r:id="rId3" w:type="default"/>
          <w:pgSz w:w="11906" w:h="16838"/>
          <w:pgMar w:top="1417" w:right="1559" w:bottom="1417" w:left="1559" w:header="851" w:footer="992" w:gutter="0"/>
          <w:pgNumType w:start="1"/>
          <w:cols w:space="720" w:num="1"/>
          <w:docGrid w:type="lines" w:linePitch="312" w:charSpace="0"/>
        </w:sectPr>
      </w:pPr>
      <w:bookmarkStart w:id="0" w:name="_Toc59656589"/>
    </w:p>
    <w:p>
      <w:pPr>
        <w:pStyle w:val="2"/>
        <w:spacing w:before="120" w:after="120" w:line="360" w:lineRule="auto"/>
        <w:rPr>
          <w:sz w:val="28"/>
          <w:szCs w:val="28"/>
        </w:rPr>
      </w:pPr>
      <w:r>
        <w:rPr>
          <w:rFonts w:hint="eastAsia"/>
          <w:sz w:val="28"/>
          <w:szCs w:val="28"/>
        </w:rPr>
        <w:t>一、企业概况</w:t>
      </w:r>
      <w:bookmarkEnd w:id="0"/>
    </w:p>
    <w:p>
      <w:pPr>
        <w:snapToGrid w:val="0"/>
        <w:spacing w:line="360" w:lineRule="auto"/>
        <w:ind w:firstLine="480" w:firstLineChars="200"/>
        <w:rPr>
          <w:rFonts w:ascii="宋体" w:hAnsi="宋体" w:cs="宋体"/>
          <w:sz w:val="24"/>
        </w:rPr>
      </w:pPr>
      <w:r>
        <w:rPr>
          <w:rFonts w:hint="eastAsia" w:ascii="宋体" w:hAnsi="宋体" w:cs="宋体"/>
          <w:sz w:val="24"/>
        </w:rPr>
        <w:t>启明星辰信息技术集团股份有限公司成立于1996年，由留美博士严望佳女士创建，是国内极具实力的、拥有完全自主知识产权的网络安全产品、可信安全管理平台、安全服务与解决方案的综合提供商。2010年启明星辰集团在深圳A股中小板上市（股票代码：002439）。目前，启明星辰已对网御星云、合众数据、书生电子、赛博兴安进行了全资收购，自此，集团成功实现了对网络安全、数据安全、应用业务安全等多领域的覆盖，形成了信息安全产业生态圈。</w:t>
      </w:r>
    </w:p>
    <w:p>
      <w:pPr>
        <w:snapToGrid w:val="0"/>
        <w:spacing w:line="360" w:lineRule="auto"/>
        <w:ind w:firstLine="480" w:firstLineChars="200"/>
        <w:rPr>
          <w:rFonts w:ascii="宋体" w:hAnsi="宋体" w:cs="宋体"/>
          <w:sz w:val="24"/>
        </w:rPr>
      </w:pPr>
      <w:r>
        <w:rPr>
          <w:rFonts w:hint="eastAsia" w:ascii="宋体" w:hAnsi="宋体" w:cs="宋体"/>
          <w:sz w:val="24"/>
        </w:rPr>
        <w:t>多年来，启明星辰一直保持着我国入侵检测/入侵防御、统一威胁管理、安全管理平台、运维安全审计、数据审计与防护市场占有率第一位。作为信息安全产业的领军企业，启明星辰以用户需求为根本动力，通过不断耕耘，已经成为政府、电信、金融、税务、能源、交通制造等国内高端企业级客户的首选品牌。作为北京奥组委独家中标的核心信息安全产品、服务及解决方案提供商，启明星辰得到了国家主管部门的大力嘉奖。自此，启明星辰为上海世博会、广州亚运会、APEC大会、G20杭州峰会、一带一路峰会、金砖国家领导人第九次峰会、十九大以及嫦娥号、上合青岛峰会等众多国家级重大安保项目网络安全保驾护航，成为国家网络安全发展中不可或缺的主力军。</w:t>
      </w:r>
    </w:p>
    <w:p>
      <w:pPr>
        <w:spacing w:line="360" w:lineRule="auto"/>
        <w:ind w:firstLine="480" w:firstLineChars="200"/>
        <w:rPr>
          <w:rFonts w:ascii="宋体" w:hAnsi="宋体" w:cs="宋体"/>
          <w:sz w:val="24"/>
        </w:rPr>
      </w:pPr>
      <w:r>
        <w:rPr>
          <w:rFonts w:hint="eastAsia" w:ascii="宋体" w:hAnsi="宋体" w:cs="宋体"/>
          <w:sz w:val="24"/>
        </w:rPr>
        <w:t>启明星辰自成立起，经历了不同阶段的跨越式自我升华，迈入“I³”阶段——独立（Independence），互联（Interconnect）、智能（Intelligence），并建立“第三方独立安全运营”新模式，立足于云计算、大数据、物联网、工业互联网、关键信息基础设施保护、移动互联网新技术发展，打造专业的安全分析队伍，提供覆盖全行业全技术的安全能力，解决新技术带来的安全挑战，帮助城市全面提升安全能力，从而更大限度保证网络空间的公平与正义。</w:t>
      </w:r>
    </w:p>
    <w:p>
      <w:pPr>
        <w:pStyle w:val="2"/>
        <w:spacing w:before="120" w:after="120" w:line="360" w:lineRule="auto"/>
        <w:rPr>
          <w:sz w:val="28"/>
          <w:szCs w:val="28"/>
        </w:rPr>
      </w:pPr>
      <w:bookmarkStart w:id="1" w:name="_Toc59656590"/>
      <w:r>
        <w:rPr>
          <w:rFonts w:hint="eastAsia"/>
          <w:sz w:val="28"/>
          <w:szCs w:val="28"/>
        </w:rPr>
        <w:t>二、合作历程</w:t>
      </w:r>
      <w:bookmarkEnd w:id="1"/>
    </w:p>
    <w:p>
      <w:pPr>
        <w:snapToGrid w:val="0"/>
        <w:spacing w:line="360" w:lineRule="auto"/>
        <w:ind w:firstLine="480" w:firstLineChars="200"/>
        <w:rPr>
          <w:rFonts w:hint="eastAsia" w:ascii="宋体" w:hAnsi="宋体" w:cs="宋体"/>
          <w:sz w:val="24"/>
        </w:rPr>
      </w:pPr>
      <w:r>
        <w:rPr>
          <w:rFonts w:hint="eastAsia" w:ascii="宋体" w:hAnsi="宋体" w:cs="宋体"/>
          <w:sz w:val="24"/>
        </w:rPr>
        <w:t>江苏安全技术职业学院信息安全与管理专业是学院重点建设专业之一，2019年与启明星辰技术集团股份有限公司江苏分公司就专业建设合作开展洽谈，双方围绕信息安全与管理专业校企共建，共育社会紧缺的网络安全人才积极开展探索研究，并签订了校企合作共建协议。</w:t>
      </w:r>
    </w:p>
    <w:p>
      <w:r>
        <w:t xml:space="preserve"> </w:t>
      </w:r>
    </w:p>
    <w:p>
      <w:pPr>
        <w:pStyle w:val="2"/>
        <w:spacing w:before="120" w:after="120" w:line="360" w:lineRule="auto"/>
        <w:rPr>
          <w:rFonts w:hint="eastAsia"/>
          <w:sz w:val="28"/>
          <w:szCs w:val="28"/>
        </w:rPr>
      </w:pPr>
      <w:bookmarkStart w:id="2" w:name="_Toc59656591"/>
      <w:r>
        <w:rPr>
          <w:rFonts w:hint="eastAsia"/>
          <w:sz w:val="28"/>
          <w:szCs w:val="28"/>
        </w:rPr>
        <w:t>三、专业共建、人才培养</w:t>
      </w:r>
      <w:bookmarkEnd w:id="2"/>
    </w:p>
    <w:p>
      <w:pPr>
        <w:snapToGrid w:val="0"/>
        <w:spacing w:line="360" w:lineRule="auto"/>
        <w:ind w:firstLine="480" w:firstLineChars="200"/>
        <w:rPr>
          <w:rFonts w:hint="eastAsia" w:ascii="宋体" w:hAnsi="宋体" w:eastAsia="宋体" w:cs="宋体"/>
          <w:sz w:val="24"/>
          <w:lang w:eastAsia="zh-CN"/>
        </w:rPr>
      </w:pPr>
      <w:r>
        <w:rPr>
          <w:rFonts w:hint="eastAsia" w:ascii="宋体" w:hAnsi="宋体" w:cs="宋体"/>
          <w:sz w:val="24"/>
        </w:rPr>
        <w:t>1.</w:t>
      </w:r>
      <w:r>
        <w:rPr>
          <w:rFonts w:hint="eastAsia" w:ascii="宋体" w:hAnsi="宋体" w:cs="宋体"/>
          <w:sz w:val="24"/>
          <w:lang w:val="en-US" w:eastAsia="zh-CN"/>
        </w:rPr>
        <w:t>师资培养</w:t>
      </w:r>
    </w:p>
    <w:p>
      <w:pPr>
        <w:snapToGrid w:val="0"/>
        <w:spacing w:line="360" w:lineRule="auto"/>
        <w:ind w:firstLine="480" w:firstLineChars="200"/>
        <w:rPr>
          <w:rFonts w:ascii="宋体" w:hAnsi="宋体" w:cs="宋体"/>
          <w:sz w:val="24"/>
        </w:rPr>
      </w:pPr>
      <w:r>
        <w:rPr>
          <w:rFonts w:hint="eastAsia" w:ascii="宋体" w:hAnsi="宋体" w:cs="宋体"/>
          <w:sz w:val="24"/>
          <w:lang w:val="en-US" w:eastAsia="zh-CN"/>
        </w:rPr>
        <w:t>企业选择合适的项目，组织企业员工和学院教师，共同参与，推近学校教学和企业实际工作需要，促进学校更好的培养专业人才</w:t>
      </w:r>
      <w:r>
        <w:rPr>
          <w:rFonts w:hint="eastAsia" w:ascii="宋体" w:hAnsi="宋体" w:cs="宋体"/>
          <w:sz w:val="24"/>
        </w:rPr>
        <w:t>。</w:t>
      </w:r>
    </w:p>
    <w:p>
      <w:pPr>
        <w:snapToGrid w:val="0"/>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779645" cy="2249170"/>
            <wp:effectExtent l="0" t="0" r="1905" b="17780"/>
            <wp:docPr id="11" name="图片 11" descr="IMG_20210425_16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0425_160900"/>
                    <pic:cNvPicPr>
                      <a:picLocks noChangeAspect="1"/>
                    </pic:cNvPicPr>
                  </pic:nvPicPr>
                  <pic:blipFill>
                    <a:blip r:embed="rId7"/>
                    <a:stretch>
                      <a:fillRect/>
                    </a:stretch>
                  </pic:blipFill>
                  <pic:spPr>
                    <a:xfrm>
                      <a:off x="0" y="0"/>
                      <a:ext cx="4779645" cy="2249170"/>
                    </a:xfrm>
                    <a:prstGeom prst="rect">
                      <a:avLst/>
                    </a:prstGeom>
                  </pic:spPr>
                </pic:pic>
              </a:graphicData>
            </a:graphic>
          </wp:inline>
        </w:drawing>
      </w:r>
    </w:p>
    <w:p>
      <w:pPr>
        <w:snapToGrid w:val="0"/>
        <w:spacing w:line="360" w:lineRule="auto"/>
        <w:ind w:firstLine="480" w:firstLineChars="200"/>
        <w:rPr>
          <w:rFonts w:ascii="宋体" w:hAnsi="宋体" w:cs="宋体"/>
          <w:sz w:val="24"/>
        </w:rPr>
      </w:pPr>
      <w:r>
        <w:rPr>
          <w:rFonts w:hint="eastAsia" w:ascii="宋体" w:hAnsi="宋体" w:cs="宋体"/>
          <w:sz w:val="24"/>
        </w:rPr>
        <w:t>2.人才</w:t>
      </w:r>
      <w:r>
        <w:rPr>
          <w:rFonts w:hint="eastAsia" w:ascii="宋体" w:hAnsi="宋体" w:cs="宋体"/>
          <w:sz w:val="24"/>
          <w:lang w:val="en-US" w:eastAsia="zh-CN"/>
        </w:rPr>
        <w:t>共同</w:t>
      </w:r>
      <w:r>
        <w:rPr>
          <w:rFonts w:hint="eastAsia" w:ascii="宋体" w:hAnsi="宋体" w:cs="宋体"/>
          <w:sz w:val="24"/>
        </w:rPr>
        <w:t>培养</w:t>
      </w:r>
    </w:p>
    <w:p>
      <w:pPr>
        <w:snapToGrid w:val="0"/>
        <w:spacing w:line="360" w:lineRule="auto"/>
        <w:ind w:firstLine="480" w:firstLineChars="20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1</w:t>
      </w:r>
      <w:r>
        <w:rPr>
          <w:rFonts w:hint="eastAsia" w:ascii="宋体" w:hAnsi="宋体" w:cs="宋体"/>
          <w:sz w:val="24"/>
        </w:rPr>
        <w:t>年</w:t>
      </w:r>
      <w:r>
        <w:rPr>
          <w:rFonts w:hint="eastAsia" w:ascii="宋体" w:hAnsi="宋体" w:cs="宋体"/>
          <w:sz w:val="24"/>
          <w:lang w:val="en-US" w:eastAsia="zh-CN"/>
        </w:rPr>
        <w:t>4</w:t>
      </w:r>
      <w:r>
        <w:rPr>
          <w:rFonts w:hint="eastAsia" w:ascii="宋体" w:hAnsi="宋体" w:cs="宋体"/>
          <w:sz w:val="24"/>
        </w:rPr>
        <w:t>月，</w:t>
      </w:r>
      <w:r>
        <w:rPr>
          <w:rFonts w:hint="eastAsia" w:ascii="宋体" w:hAnsi="宋体" w:cs="宋体"/>
          <w:sz w:val="24"/>
          <w:lang w:val="en-US" w:eastAsia="zh-CN"/>
        </w:rPr>
        <w:t>开展全国性模拟真实环境攻防演练，采用模拟最新漏洞的靶场，提高学生真实场景渗透测试与安全防护的能力</w:t>
      </w:r>
      <w:r>
        <w:rPr>
          <w:rFonts w:hint="eastAsia" w:ascii="宋体" w:hAnsi="宋体" w:cs="宋体"/>
          <w:sz w:val="24"/>
        </w:rPr>
        <w:t>。</w:t>
      </w:r>
    </w:p>
    <w:p>
      <w:pPr>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834255" cy="2249805"/>
            <wp:effectExtent l="0" t="0" r="4445" b="17145"/>
            <wp:docPr id="14" name="图片 14" descr="2021邀请函-启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邀请函-启明"/>
                    <pic:cNvPicPr>
                      <a:picLocks noChangeAspect="1"/>
                    </pic:cNvPicPr>
                  </pic:nvPicPr>
                  <pic:blipFill>
                    <a:blip r:embed="rId8"/>
                    <a:srcRect t="10087" b="52405"/>
                    <a:stretch>
                      <a:fillRect/>
                    </a:stretch>
                  </pic:blipFill>
                  <pic:spPr>
                    <a:xfrm>
                      <a:off x="0" y="0"/>
                      <a:ext cx="4834255" cy="2249805"/>
                    </a:xfrm>
                    <a:prstGeom prst="rect">
                      <a:avLst/>
                    </a:prstGeom>
                  </pic:spPr>
                </pic:pic>
              </a:graphicData>
            </a:graphic>
          </wp:inline>
        </w:drawing>
      </w:r>
    </w:p>
    <w:p>
      <w:pPr>
        <w:snapToGrid w:val="0"/>
        <w:spacing w:line="360" w:lineRule="auto"/>
        <w:ind w:firstLine="480" w:firstLineChars="200"/>
        <w:rPr>
          <w:rFonts w:ascii="宋体" w:hAnsi="宋体" w:cs="宋体"/>
          <w:sz w:val="24"/>
        </w:rPr>
      </w:pPr>
      <w:r>
        <w:rPr>
          <w:rFonts w:hint="eastAsia" w:ascii="宋体" w:hAnsi="宋体" w:cs="宋体"/>
          <w:sz w:val="24"/>
        </w:rPr>
        <w:t>3.提供实习、就业岗位</w:t>
      </w:r>
    </w:p>
    <w:p>
      <w:pPr>
        <w:snapToGrid w:val="0"/>
        <w:spacing w:line="360" w:lineRule="auto"/>
        <w:ind w:firstLine="480" w:firstLineChars="200"/>
        <w:rPr>
          <w:rFonts w:ascii="宋体" w:hAnsi="宋体" w:cs="宋体"/>
          <w:sz w:val="24"/>
        </w:rPr>
      </w:pPr>
      <w:r>
        <w:rPr>
          <w:rFonts w:hint="eastAsia" w:ascii="宋体" w:hAnsi="宋体" w:cs="宋体"/>
          <w:sz w:val="24"/>
        </w:rPr>
        <w:t>公司为江苏安全技术职业学院提供网络安全服务岗位、网络系统集成岗位，从参与培养到实习就业，完成学生培养的最后一公里。</w:t>
      </w:r>
    </w:p>
    <w:p>
      <w:pPr>
        <w:snapToGrid w:val="0"/>
        <w:spacing w:line="360" w:lineRule="auto"/>
        <w:ind w:firstLine="420" w:firstLineChars="200"/>
        <w:jc w:val="both"/>
        <w:rPr>
          <w:rFonts w:ascii="宋体" w:hAnsi="宋体" w:cs="宋体"/>
          <w:sz w:val="24"/>
        </w:rPr>
      </w:pPr>
      <w:r>
        <w:rPr>
          <w:rFonts w:hint="eastAsia"/>
          <w:lang w:val="en-US" w:eastAsia="zh-CN"/>
        </w:rPr>
        <w:t xml:space="preserve"> </w:t>
      </w:r>
      <w:r>
        <w:drawing>
          <wp:inline distT="0" distB="0" distL="114300" distR="114300">
            <wp:extent cx="4780915" cy="2249805"/>
            <wp:effectExtent l="0" t="0" r="635" b="17145"/>
            <wp:docPr id="3" name="图片 9"/>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9">
                      <a:lum bright="12000" contrast="6000"/>
                    </a:blip>
                    <a:srcRect l="32094" t="28677" b="20818"/>
                    <a:stretch>
                      <a:fillRect/>
                    </a:stretch>
                  </pic:blipFill>
                  <pic:spPr>
                    <a:xfrm>
                      <a:off x="0" y="0"/>
                      <a:ext cx="4780915" cy="2249805"/>
                    </a:xfrm>
                    <a:prstGeom prst="rect">
                      <a:avLst/>
                    </a:prstGeom>
                    <a:noFill/>
                    <a:ln>
                      <a:noFill/>
                    </a:ln>
                  </pic:spPr>
                </pic:pic>
              </a:graphicData>
            </a:graphic>
          </wp:inline>
        </w:drawing>
      </w:r>
    </w:p>
    <w:p>
      <w:pPr>
        <w:pStyle w:val="2"/>
        <w:spacing w:before="120" w:after="120" w:line="360" w:lineRule="auto"/>
        <w:rPr>
          <w:rFonts w:hint="eastAsia"/>
          <w:sz w:val="28"/>
          <w:szCs w:val="28"/>
        </w:rPr>
      </w:pPr>
      <w:r>
        <w:rPr>
          <w:rFonts w:hint="eastAsia"/>
          <w:sz w:val="28"/>
          <w:szCs w:val="28"/>
          <w:lang w:val="en-US" w:eastAsia="zh-CN"/>
        </w:rPr>
        <w:t>四、</w:t>
      </w:r>
      <w:r>
        <w:rPr>
          <w:rFonts w:hint="eastAsia"/>
          <w:sz w:val="28"/>
          <w:szCs w:val="28"/>
        </w:rPr>
        <w:t>社会服务</w:t>
      </w:r>
    </w:p>
    <w:p>
      <w:pPr>
        <w:snapToGrid w:val="0"/>
        <w:spacing w:line="360" w:lineRule="auto"/>
        <w:ind w:firstLine="480" w:firstLineChars="200"/>
        <w:rPr>
          <w:sz w:val="24"/>
          <w:szCs w:val="24"/>
        </w:rPr>
      </w:pPr>
      <w:r>
        <w:rPr>
          <w:rFonts w:hint="eastAsia"/>
          <w:sz w:val="24"/>
          <w:szCs w:val="24"/>
        </w:rPr>
        <w:t>依托中央电教馆关于开展职业院校网络与信息安全专业校企合作建设项目，与江苏安全技术职业学院开展信息安全与管理专业专业共建</w:t>
      </w:r>
      <w:r>
        <w:rPr>
          <w:rFonts w:hint="eastAsia"/>
          <w:sz w:val="24"/>
          <w:szCs w:val="24"/>
          <w:lang w:eastAsia="zh-CN"/>
        </w:rPr>
        <w:t>，</w:t>
      </w:r>
      <w:r>
        <w:rPr>
          <w:rFonts w:hint="eastAsia"/>
          <w:sz w:val="24"/>
          <w:szCs w:val="24"/>
          <w:lang w:val="en-US" w:eastAsia="zh-CN"/>
        </w:rPr>
        <w:t>期间启明星辰技术总监魏旻多次来校洽谈专业共建事宜，魏总表示在全国网络安全的大形势下，企业网络安全系统集成人才的需求缺口大，就该方向共同研讨人才培养方案，希望能出更多更好的专业人才</w:t>
      </w:r>
      <w:r>
        <w:rPr>
          <w:rFonts w:hint="eastAsia"/>
          <w:sz w:val="24"/>
          <w:szCs w:val="24"/>
        </w:rPr>
        <w:t>。</w:t>
      </w:r>
    </w:p>
    <w:p>
      <w:pPr>
        <w:keepNext w:val="0"/>
        <w:keepLines w:val="0"/>
        <w:pageBreakBefore w:val="0"/>
        <w:widowControl/>
        <w:kinsoku/>
        <w:wordWrap/>
        <w:overflowPunct/>
        <w:topLinePunct w:val="0"/>
        <w:autoSpaceDE/>
        <w:autoSpaceDN/>
        <w:bidi w:val="0"/>
        <w:adjustRightInd w:val="0"/>
        <w:snapToGrid/>
        <w:jc w:val="center"/>
        <w:textAlignment w:val="auto"/>
        <w:rPr>
          <w:rFonts w:hint="eastAsia" w:eastAsia="宋体"/>
          <w:sz w:val="24"/>
          <w:szCs w:val="24"/>
          <w:lang w:eastAsia="zh-CN"/>
        </w:rPr>
      </w:pPr>
      <w:r>
        <w:rPr>
          <w:rFonts w:hint="eastAsia" w:eastAsia="宋体"/>
          <w:sz w:val="24"/>
          <w:szCs w:val="24"/>
          <w:lang w:eastAsia="zh-CN"/>
        </w:rPr>
        <w:drawing>
          <wp:inline distT="0" distB="0" distL="114300" distR="114300">
            <wp:extent cx="4780915" cy="2249805"/>
            <wp:effectExtent l="0" t="0" r="635" b="17145"/>
            <wp:docPr id="15" name="图片 15" descr="IMG_20200522_094418"/>
            <wp:cNvGraphicFramePr/>
            <a:graphic xmlns:a="http://schemas.openxmlformats.org/drawingml/2006/main">
              <a:graphicData uri="http://schemas.openxmlformats.org/drawingml/2006/picture">
                <pic:pic xmlns:pic="http://schemas.openxmlformats.org/drawingml/2006/picture">
                  <pic:nvPicPr>
                    <pic:cNvPr id="15" name="图片 15" descr="IMG_20200522_094418"/>
                    <pic:cNvPicPr/>
                  </pic:nvPicPr>
                  <pic:blipFill>
                    <a:blip r:embed="rId10"/>
                    <a:srcRect t="33058"/>
                    <a:stretch>
                      <a:fillRect/>
                    </a:stretch>
                  </pic:blipFill>
                  <pic:spPr>
                    <a:xfrm>
                      <a:off x="0" y="0"/>
                      <a:ext cx="4780915" cy="2249805"/>
                    </a:xfrm>
                    <a:prstGeom prst="rect">
                      <a:avLst/>
                    </a:prstGeom>
                  </pic:spPr>
                </pic:pic>
              </a:graphicData>
            </a:graphic>
          </wp:inline>
        </w:drawing>
      </w:r>
    </w:p>
    <w:p>
      <w:pPr>
        <w:snapToGrid w:val="0"/>
        <w:spacing w:line="360" w:lineRule="auto"/>
        <w:ind w:firstLine="480" w:firstLineChars="200"/>
        <w:rPr>
          <w:rFonts w:hint="eastAsia"/>
          <w:sz w:val="24"/>
          <w:szCs w:val="24"/>
        </w:rPr>
      </w:pPr>
      <w:r>
        <w:rPr>
          <w:rFonts w:hint="eastAsia"/>
          <w:sz w:val="24"/>
          <w:szCs w:val="24"/>
          <w:lang w:val="en-US" w:eastAsia="zh-CN"/>
        </w:rPr>
        <w:t>为了达到该方向人才培养的目标，企业拟在我校建设以徐州为基地的网络安全应急响应中心，服务淮海经区，</w:t>
      </w:r>
      <w:r>
        <w:rPr>
          <w:rFonts w:hint="eastAsia"/>
          <w:sz w:val="24"/>
          <w:szCs w:val="24"/>
        </w:rPr>
        <w:t>主要培养学生网络安全设备的系统集成项目能力，主要包括防火墙硬件设备、入侵检测设备、入侵防护设备、WEB应用防护设备、漏洞扫描、VPN设备等网络安全设备，以及</w:t>
      </w:r>
      <w:r>
        <w:rPr>
          <w:rFonts w:hint="eastAsia"/>
          <w:sz w:val="24"/>
          <w:szCs w:val="24"/>
          <w:lang w:val="en-US" w:eastAsia="zh-CN"/>
        </w:rPr>
        <w:t>网络安全应急处理能力</w:t>
      </w:r>
      <w:r>
        <w:rPr>
          <w:rFonts w:hint="eastAsia"/>
          <w:sz w:val="24"/>
          <w:szCs w:val="24"/>
        </w:rPr>
        <w:t>。</w:t>
      </w:r>
    </w:p>
    <w:p>
      <w:pPr>
        <w:snapToGrid w:val="0"/>
        <w:spacing w:line="360" w:lineRule="auto"/>
        <w:ind w:firstLine="420" w:firstLineChars="200"/>
      </w:pPr>
    </w:p>
    <w:p>
      <w:pPr>
        <w:pStyle w:val="2"/>
        <w:spacing w:before="120" w:after="120" w:line="360" w:lineRule="auto"/>
        <w:rPr>
          <w:rFonts w:hint="eastAsia"/>
          <w:sz w:val="28"/>
          <w:szCs w:val="28"/>
        </w:rPr>
      </w:pPr>
      <w:bookmarkStart w:id="3" w:name="_Toc59656593"/>
      <w:r>
        <w:rPr>
          <w:rFonts w:hint="eastAsia"/>
          <w:sz w:val="28"/>
          <w:szCs w:val="28"/>
        </w:rPr>
        <w:t>五、保障制度</w:t>
      </w:r>
      <w:bookmarkEnd w:id="3"/>
      <w:r>
        <w:rPr>
          <w:rFonts w:hint="eastAsia"/>
          <w:sz w:val="28"/>
          <w:szCs w:val="28"/>
        </w:rPr>
        <w:t xml:space="preserve"> </w:t>
      </w:r>
    </w:p>
    <w:p>
      <w:pPr>
        <w:snapToGrid w:val="0"/>
        <w:spacing w:line="360" w:lineRule="auto"/>
        <w:ind w:firstLine="480" w:firstLineChars="200"/>
        <w:rPr>
          <w:rFonts w:hint="eastAsia"/>
          <w:sz w:val="24"/>
          <w:szCs w:val="24"/>
        </w:rPr>
      </w:pPr>
      <w:r>
        <w:rPr>
          <w:rFonts w:hint="eastAsia"/>
          <w:sz w:val="24"/>
          <w:szCs w:val="24"/>
        </w:rPr>
        <w:t>为保证企业与学院建立持久稳定的合作关系，持续为公司培养所需要的应用型人才，公司与校方签订校企合作协议与发展框架协议，明确双方的责任和义务，规约“订单班”人才培养规格与培养质量。</w:t>
      </w:r>
      <w:r>
        <w:rPr>
          <w:rFonts w:hint="eastAsia"/>
          <w:sz w:val="24"/>
          <w:szCs w:val="24"/>
          <w:lang w:val="en-US" w:eastAsia="zh-CN"/>
        </w:rPr>
        <w:t>启明星辰</w:t>
      </w:r>
      <w:r>
        <w:rPr>
          <w:rFonts w:hint="eastAsia"/>
          <w:sz w:val="24"/>
          <w:szCs w:val="24"/>
        </w:rPr>
        <w:t>与</w:t>
      </w:r>
      <w:r>
        <w:rPr>
          <w:rFonts w:hint="eastAsia"/>
          <w:sz w:val="24"/>
          <w:szCs w:val="24"/>
          <w:lang w:val="en-US" w:eastAsia="zh-CN"/>
        </w:rPr>
        <w:t>江苏安全技术职业</w:t>
      </w:r>
      <w:r>
        <w:rPr>
          <w:rFonts w:hint="eastAsia"/>
          <w:sz w:val="24"/>
          <w:szCs w:val="24"/>
        </w:rPr>
        <w:t>学院</w:t>
      </w:r>
      <w:r>
        <w:rPr>
          <w:rFonts w:hint="eastAsia"/>
          <w:sz w:val="24"/>
          <w:szCs w:val="24"/>
          <w:lang w:val="en-US" w:eastAsia="zh-CN"/>
        </w:rPr>
        <w:t>网络与信息安全学院不</w:t>
      </w:r>
      <w:r>
        <w:rPr>
          <w:rFonts w:hint="eastAsia"/>
          <w:sz w:val="24"/>
          <w:szCs w:val="24"/>
        </w:rPr>
        <w:t>断完善合作机制，建立工作例会制度，由专人负责与学校沟通，</w:t>
      </w:r>
      <w:r>
        <w:rPr>
          <w:rFonts w:hint="eastAsia"/>
          <w:sz w:val="24"/>
          <w:szCs w:val="24"/>
          <w:lang w:val="en-US" w:eastAsia="zh-CN"/>
        </w:rPr>
        <w:t>公司</w:t>
      </w:r>
      <w:r>
        <w:rPr>
          <w:rFonts w:hint="eastAsia"/>
          <w:sz w:val="24"/>
          <w:szCs w:val="24"/>
        </w:rPr>
        <w:t xml:space="preserve">安排专门人员负责校企合作的各项具体工作事宜，双方部门主管定期进行交流，确保了各项具体工作的落实。加强校企合作，积极探索高职院校与企业合作培养人才的新途径和新方式，不断推动校企合作的发展。 </w:t>
      </w:r>
    </w:p>
    <w:p>
      <w:pPr>
        <w:pStyle w:val="2"/>
        <w:spacing w:before="120" w:after="120" w:line="360" w:lineRule="auto"/>
        <w:rPr>
          <w:rFonts w:hint="eastAsia"/>
          <w:sz w:val="28"/>
          <w:szCs w:val="28"/>
        </w:rPr>
      </w:pPr>
      <w:bookmarkStart w:id="4" w:name="_Toc59656594"/>
      <w:r>
        <w:rPr>
          <w:rFonts w:hint="eastAsia"/>
          <w:sz w:val="28"/>
          <w:szCs w:val="28"/>
        </w:rPr>
        <w:t>六、挑战与展望</w:t>
      </w:r>
      <w:bookmarkEnd w:id="4"/>
      <w:r>
        <w:rPr>
          <w:rFonts w:hint="eastAsia"/>
          <w:sz w:val="28"/>
          <w:szCs w:val="28"/>
        </w:rPr>
        <w:t xml:space="preserve"> </w:t>
      </w:r>
    </w:p>
    <w:p>
      <w:pPr>
        <w:snapToGrid w:val="0"/>
        <w:spacing w:line="360" w:lineRule="auto"/>
        <w:ind w:firstLine="480" w:firstLineChars="200"/>
        <w:rPr>
          <w:rFonts w:hint="eastAsia"/>
          <w:sz w:val="24"/>
          <w:szCs w:val="24"/>
        </w:rPr>
      </w:pPr>
      <w:r>
        <w:rPr>
          <w:rFonts w:hint="eastAsia"/>
          <w:sz w:val="24"/>
          <w:szCs w:val="24"/>
        </w:rPr>
        <w:t>公司与</w:t>
      </w:r>
      <w:r>
        <w:rPr>
          <w:rFonts w:hint="eastAsia"/>
          <w:sz w:val="24"/>
          <w:szCs w:val="24"/>
          <w:lang w:val="en-US" w:eastAsia="zh-CN"/>
        </w:rPr>
        <w:t>江苏安全技术</w:t>
      </w:r>
      <w:r>
        <w:rPr>
          <w:rFonts w:hint="eastAsia"/>
          <w:sz w:val="24"/>
          <w:szCs w:val="24"/>
        </w:rPr>
        <w:t>学院建立了长期合作的关系，双方签署了校企合作协议书等，在校企协同合作育人、校企协同共建</w:t>
      </w:r>
      <w:r>
        <w:rPr>
          <w:rFonts w:hint="eastAsia"/>
          <w:sz w:val="24"/>
          <w:szCs w:val="24"/>
          <w:lang w:val="en-US" w:eastAsia="zh-CN"/>
        </w:rPr>
        <w:t>网络安全专业</w:t>
      </w:r>
      <w:r>
        <w:rPr>
          <w:rFonts w:hint="eastAsia"/>
          <w:sz w:val="24"/>
          <w:szCs w:val="24"/>
        </w:rPr>
        <w:t>方面进一步深化合作</w:t>
      </w:r>
      <w:r>
        <w:rPr>
          <w:rFonts w:hint="eastAsia"/>
          <w:sz w:val="24"/>
          <w:szCs w:val="24"/>
          <w:lang w:eastAsia="zh-CN"/>
        </w:rPr>
        <w:t>。</w:t>
      </w:r>
      <w:r>
        <w:rPr>
          <w:rFonts w:hint="eastAsia"/>
          <w:sz w:val="24"/>
          <w:szCs w:val="24"/>
        </w:rPr>
        <w:t>从人才培养模式、课程体系建设、教材建设、实训教学、管理体制、运行机制等方面进行体制、机制的完善，创新现代学徒制、现代职业教育集团等新型校企合作模式，全面服务于高素质应用型技术人才的培养，同时能更好地服务地方区域经济发展。</w:t>
      </w:r>
    </w:p>
    <w:sectPr>
      <w:footerReference r:id="rId4" w:type="default"/>
      <w:pgSz w:w="11906" w:h="16838"/>
      <w:pgMar w:top="1417" w:right="1559" w:bottom="1417" w:left="1559"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19"/>
    <w:rsid w:val="00075106"/>
    <w:rsid w:val="00104D18"/>
    <w:rsid w:val="00274EDF"/>
    <w:rsid w:val="003C2319"/>
    <w:rsid w:val="005A251D"/>
    <w:rsid w:val="00AA746B"/>
    <w:rsid w:val="00D8769A"/>
    <w:rsid w:val="01020472"/>
    <w:rsid w:val="037F5A40"/>
    <w:rsid w:val="04FF190E"/>
    <w:rsid w:val="08A71346"/>
    <w:rsid w:val="0AA94815"/>
    <w:rsid w:val="0C803B53"/>
    <w:rsid w:val="0DAE490A"/>
    <w:rsid w:val="11931D67"/>
    <w:rsid w:val="125515DD"/>
    <w:rsid w:val="137E39FF"/>
    <w:rsid w:val="18AC10E8"/>
    <w:rsid w:val="192C42DE"/>
    <w:rsid w:val="29E12B0D"/>
    <w:rsid w:val="2A9C5BA4"/>
    <w:rsid w:val="34146F7F"/>
    <w:rsid w:val="38BA17FD"/>
    <w:rsid w:val="39E6508D"/>
    <w:rsid w:val="3BE564DA"/>
    <w:rsid w:val="3D964909"/>
    <w:rsid w:val="40077F79"/>
    <w:rsid w:val="42A45AE6"/>
    <w:rsid w:val="45633A36"/>
    <w:rsid w:val="46256F3D"/>
    <w:rsid w:val="47550AB0"/>
    <w:rsid w:val="48D127E6"/>
    <w:rsid w:val="4B5B4DFF"/>
    <w:rsid w:val="4DB547F8"/>
    <w:rsid w:val="50E7153E"/>
    <w:rsid w:val="58D746F8"/>
    <w:rsid w:val="59934492"/>
    <w:rsid w:val="5A5077B8"/>
    <w:rsid w:val="5DCF35BF"/>
    <w:rsid w:val="5DF36E75"/>
    <w:rsid w:val="6350111D"/>
    <w:rsid w:val="653758DB"/>
    <w:rsid w:val="68452B39"/>
    <w:rsid w:val="68975621"/>
    <w:rsid w:val="6DD37B24"/>
    <w:rsid w:val="6E52632B"/>
    <w:rsid w:val="6F857F81"/>
    <w:rsid w:val="71D84560"/>
    <w:rsid w:val="7316160B"/>
    <w:rsid w:val="73242DFC"/>
    <w:rsid w:val="772E5CE0"/>
    <w:rsid w:val="7820601E"/>
    <w:rsid w:val="78D505A6"/>
    <w:rsid w:val="795C7C50"/>
    <w:rsid w:val="7CC7607D"/>
    <w:rsid w:val="7D5D42EC"/>
    <w:rsid w:val="7E380378"/>
    <w:rsid w:val="7EC44F57"/>
    <w:rsid w:val="7F271055"/>
    <w:rsid w:val="7FEF7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0"/>
    <w:pPr>
      <w:keepNext/>
      <w:keepLines/>
      <w:snapToGrid w:val="0"/>
      <w:outlineLvl w:val="1"/>
    </w:pPr>
    <w:rPr>
      <w:rFonts w:ascii="Times New Roman" w:hAnsi="Times New Roman" w:eastAsia="仿宋"/>
      <w:b/>
      <w:bCs/>
      <w:sz w:val="30"/>
      <w:szCs w:val="30"/>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8">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9">
    <w:name w:val="Normal (Web)"/>
    <w:basedOn w:val="1"/>
    <w:qFormat/>
    <w:uiPriority w:val="0"/>
    <w:pPr>
      <w:spacing w:before="100" w:beforeAutospacing="1" w:after="100" w:afterAutospacing="1"/>
      <w:jc w:val="left"/>
    </w:pPr>
    <w:rPr>
      <w:kern w:val="0"/>
      <w:sz w:val="24"/>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标题 2 Char"/>
    <w:link w:val="3"/>
    <w:qFormat/>
    <w:uiPriority w:val="0"/>
    <w:rPr>
      <w:rFonts w:ascii="Times New Roman" w:hAnsi="Times New Roman" w:eastAsia="仿宋" w:cs="Times New Roman"/>
      <w:b/>
      <w:bCs/>
      <w:sz w:val="30"/>
      <w:szCs w:val="30"/>
    </w:rPr>
  </w:style>
  <w:style w:type="character" w:customStyle="1" w:styleId="14">
    <w:name w:val="标题 1 Char"/>
    <w:basedOn w:val="11"/>
    <w:link w:val="2"/>
    <w:qFormat/>
    <w:uiPriority w:val="0"/>
    <w:rPr>
      <w:rFonts w:ascii="Calibri" w:hAnsi="Calibri"/>
      <w:b/>
      <w:bCs/>
      <w:kern w:val="44"/>
      <w:sz w:val="44"/>
      <w:szCs w:val="44"/>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DCF24C-8E15-482F-A5A5-2DCC187CA97D}">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10</Pages>
  <Words>475</Words>
  <Characters>2713</Characters>
  <Lines>22</Lines>
  <Paragraphs>6</Paragraphs>
  <TotalTime>2</TotalTime>
  <ScaleCrop>false</ScaleCrop>
  <LinksUpToDate>false</LinksUpToDate>
  <CharactersWithSpaces>3182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2020-12-24T00:37:00Z</dcterms:created>
  <dc:creator>sir</dc:creator>
  <cp:lastModifiedBy> 静 </cp:lastModifiedBy>
  <dcterms:modified xsi:type="dcterms:W3CDTF">2021-12-01T08:15:28Z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1F301B944812497A831609064AC4689A</vt:lpwstr>
  </property>
</Properties>
</file>